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33" w:rsidRPr="00C3726A" w:rsidRDefault="00754333" w:rsidP="00892A72">
      <w:pPr>
        <w:rPr>
          <w:rFonts w:ascii="Tw Cen MT" w:hAnsi="Tw Cen MT" w:cs="Tw Cen MT"/>
          <w:b/>
          <w:bCs/>
          <w:sz w:val="28"/>
          <w:szCs w:val="28"/>
        </w:rPr>
      </w:pPr>
      <w:bookmarkStart w:id="0" w:name="_GoBack"/>
      <w:bookmarkEnd w:id="0"/>
      <w:r w:rsidRPr="00C3726A">
        <w:rPr>
          <w:rFonts w:ascii="Tw Cen MT" w:hAnsi="Tw Cen MT" w:cs="Tw Cen MT"/>
          <w:b/>
          <w:bCs/>
          <w:sz w:val="28"/>
          <w:szCs w:val="28"/>
        </w:rPr>
        <w:t xml:space="preserve">Il quadro delle risorse economiche </w:t>
      </w:r>
    </w:p>
    <w:p w:rsidR="00754333" w:rsidRDefault="00754333" w:rsidP="00DF5A5E">
      <w:pPr>
        <w:jc w:val="both"/>
        <w:rPr>
          <w:rFonts w:ascii="Tw Cen MT" w:hAnsi="Tw Cen MT" w:cs="Tw Cen MT"/>
        </w:rPr>
      </w:pPr>
    </w:p>
    <w:p w:rsidR="00754333" w:rsidRDefault="00754333" w:rsidP="00DF5A5E">
      <w:pPr>
        <w:jc w:val="both"/>
        <w:rPr>
          <w:rFonts w:ascii="Tw Cen MT" w:hAnsi="Tw Cen MT" w:cs="Tw Cen MT"/>
        </w:rPr>
      </w:pPr>
    </w:p>
    <w:p w:rsidR="00754333" w:rsidRDefault="00754333" w:rsidP="0068387D">
      <w:pPr>
        <w:spacing w:after="120"/>
        <w:jc w:val="both"/>
        <w:rPr>
          <w:rFonts w:ascii="Tw Cen MT" w:hAnsi="Tw Cen MT" w:cs="Tw Cen MT"/>
        </w:rPr>
      </w:pPr>
      <w:r>
        <w:rPr>
          <w:rFonts w:ascii="Tw Cen MT" w:hAnsi="Tw Cen MT" w:cs="Tw Cen MT"/>
        </w:rPr>
        <w:tab/>
        <w:t xml:space="preserve">Il quadro delle risorse economiche risente in maniera determinante della progressiva riduzione della misura del diritto annuale disposta dall’art. 28, c. 1, del D.L. 90/2014 così come convertito dalla L. </w:t>
      </w:r>
      <w:r w:rsidRPr="00E448DD">
        <w:rPr>
          <w:rFonts w:ascii="Tw Cen MT" w:hAnsi="Tw Cen MT" w:cs="Tw Cen MT"/>
        </w:rPr>
        <w:t>114/2014</w:t>
      </w:r>
      <w:r>
        <w:rPr>
          <w:rFonts w:ascii="Tw Cen MT" w:hAnsi="Tw Cen MT" w:cs="Tw Cen MT"/>
        </w:rPr>
        <w:t xml:space="preserve"> (35% nel 2015, 40% nel 2016, 50% a decorrere dal 2017), parzialmente controbilanciata con riferimento all’esercizio in esame dall’applicazione della maggiorazione del 20% ai sensi dell’art. 18, c. 10, della L. 580/1993.</w:t>
      </w:r>
    </w:p>
    <w:p w:rsidR="00754333" w:rsidRDefault="00754333" w:rsidP="0068387D">
      <w:pPr>
        <w:spacing w:after="120"/>
        <w:jc w:val="both"/>
        <w:rPr>
          <w:rFonts w:ascii="Tw Cen MT" w:hAnsi="Tw Cen MT" w:cs="Tw Cen MT"/>
        </w:rPr>
      </w:pPr>
      <w:r>
        <w:rPr>
          <w:rFonts w:ascii="Tw Cen MT" w:hAnsi="Tw Cen MT" w:cs="Tw Cen MT"/>
        </w:rPr>
        <w:tab/>
        <w:t xml:space="preserve">Ancora inattuata, invece, la disposizione del comma 2 del medesimo articolo che prevede la rideterminazione delle tariffe e dei diritti di segreteria sulla base </w:t>
      </w:r>
      <w:r w:rsidRPr="0068387D">
        <w:rPr>
          <w:rFonts w:ascii="Tw Cen MT" w:hAnsi="Tw Cen MT" w:cs="Tw Cen MT"/>
        </w:rPr>
        <w:t xml:space="preserve">di costi standard definiti dal Ministero dello sviluppo economico, sentite </w:t>
      </w:r>
      <w:smartTag w:uri="urn:schemas-microsoft-com:office:smarttags" w:element="PersonName">
        <w:smartTagPr>
          <w:attr w:name="ProductID" w:val="la Società"/>
        </w:smartTagPr>
        <w:r w:rsidRPr="0068387D">
          <w:rPr>
            <w:rFonts w:ascii="Tw Cen MT" w:hAnsi="Tw Cen MT" w:cs="Tw Cen MT"/>
          </w:rPr>
          <w:t>la Società</w:t>
        </w:r>
      </w:smartTag>
      <w:r w:rsidRPr="0068387D">
        <w:rPr>
          <w:rFonts w:ascii="Tw Cen MT" w:hAnsi="Tw Cen MT" w:cs="Tw Cen MT"/>
        </w:rPr>
        <w:t xml:space="preserve"> per gli studi di settore (SOSE) Spa e l'Unioncamere</w:t>
      </w:r>
      <w:r>
        <w:rPr>
          <w:rFonts w:ascii="Tw Cen MT" w:hAnsi="Tw Cen MT" w:cs="Tw Cen MT"/>
        </w:rPr>
        <w:t xml:space="preserve"> dalla quale è atteso un parziale recupero di risorse.</w:t>
      </w:r>
    </w:p>
    <w:p w:rsidR="00754333" w:rsidRDefault="00754333" w:rsidP="00DF5A5E">
      <w:pPr>
        <w:jc w:val="both"/>
        <w:rPr>
          <w:rFonts w:ascii="Tw Cen MT" w:hAnsi="Tw Cen MT" w:cs="Tw Cen MT"/>
        </w:rPr>
      </w:pPr>
    </w:p>
    <w:p w:rsidR="00754333" w:rsidRPr="00C3726A" w:rsidRDefault="00754333" w:rsidP="00DF5A5E">
      <w:pPr>
        <w:jc w:val="both"/>
        <w:rPr>
          <w:rFonts w:ascii="Tw Cen MT" w:hAnsi="Tw Cen MT" w:cs="Tw Cen MT"/>
        </w:rPr>
      </w:pPr>
    </w:p>
    <w:tbl>
      <w:tblPr>
        <w:tblW w:w="689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25"/>
        <w:gridCol w:w="1275"/>
        <w:gridCol w:w="1047"/>
        <w:gridCol w:w="229"/>
        <w:gridCol w:w="1294"/>
        <w:gridCol w:w="28"/>
      </w:tblGrid>
      <w:tr w:rsidR="00754333" w:rsidRPr="00C3726A" w:rsidTr="00FF46EE">
        <w:trPr>
          <w:gridAfter w:val="1"/>
          <w:wAfter w:w="28" w:type="dxa"/>
          <w:trHeight w:val="300"/>
          <w:jc w:val="center"/>
        </w:trPr>
        <w:tc>
          <w:tcPr>
            <w:tcW w:w="3025" w:type="dxa"/>
            <w:shd w:val="clear" w:color="000000" w:fill="D8D8D8"/>
            <w:noWrap/>
            <w:vAlign w:val="center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72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RISORSE</w:t>
            </w:r>
          </w:p>
        </w:tc>
        <w:tc>
          <w:tcPr>
            <w:tcW w:w="1275" w:type="dxa"/>
            <w:shd w:val="clear" w:color="000000" w:fill="D8D8D8"/>
            <w:vAlign w:val="center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76" w:type="dxa"/>
            <w:gridSpan w:val="2"/>
            <w:shd w:val="clear" w:color="000000" w:fill="D8D8D8"/>
            <w:noWrap/>
            <w:vAlign w:val="center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72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94" w:type="dxa"/>
            <w:shd w:val="clear" w:color="000000" w:fill="D8D8D8"/>
            <w:noWrap/>
            <w:vAlign w:val="center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72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2014</w:t>
            </w:r>
          </w:p>
        </w:tc>
      </w:tr>
      <w:tr w:rsidR="00754333" w:rsidRPr="00C3726A" w:rsidTr="00FF46EE">
        <w:trPr>
          <w:gridAfter w:val="1"/>
          <w:wAfter w:w="28" w:type="dxa"/>
          <w:trHeight w:val="300"/>
          <w:jc w:val="center"/>
        </w:trPr>
        <w:tc>
          <w:tcPr>
            <w:tcW w:w="3025" w:type="dxa"/>
            <w:noWrap/>
            <w:vAlign w:val="center"/>
          </w:tcPr>
          <w:p w:rsidR="00754333" w:rsidRPr="00C3726A" w:rsidRDefault="00754333" w:rsidP="00874894">
            <w:pPr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DIRITTO ANNUALE</w:t>
            </w:r>
          </w:p>
        </w:tc>
        <w:tc>
          <w:tcPr>
            <w:tcW w:w="1275" w:type="dxa"/>
            <w:vAlign w:val="center"/>
          </w:tcPr>
          <w:p w:rsidR="00754333" w:rsidRPr="000E76E3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 w:rsidRPr="000E76E3">
              <w:rPr>
                <w:rFonts w:ascii="Calibri" w:hAnsi="Calibri"/>
                <w:color w:val="000000"/>
                <w:sz w:val="22"/>
                <w:szCs w:val="22"/>
              </w:rPr>
              <w:t>4.408.021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4.000.026</w:t>
            </w:r>
          </w:p>
        </w:tc>
        <w:tc>
          <w:tcPr>
            <w:tcW w:w="1294" w:type="dxa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6.112.589</w:t>
            </w:r>
          </w:p>
        </w:tc>
      </w:tr>
      <w:tr w:rsidR="00754333" w:rsidRPr="00C3726A" w:rsidTr="00FF46EE">
        <w:trPr>
          <w:gridAfter w:val="1"/>
          <w:wAfter w:w="28" w:type="dxa"/>
          <w:trHeight w:val="300"/>
          <w:jc w:val="center"/>
        </w:trPr>
        <w:tc>
          <w:tcPr>
            <w:tcW w:w="3025" w:type="dxa"/>
            <w:noWrap/>
            <w:vAlign w:val="center"/>
          </w:tcPr>
          <w:p w:rsidR="00754333" w:rsidRPr="00C3726A" w:rsidRDefault="00754333" w:rsidP="00874894">
            <w:pPr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DIRITTI DI SEGRETERIA</w:t>
            </w:r>
          </w:p>
        </w:tc>
        <w:tc>
          <w:tcPr>
            <w:tcW w:w="1275" w:type="dxa"/>
            <w:vAlign w:val="center"/>
          </w:tcPr>
          <w:p w:rsidR="00754333" w:rsidRPr="000E76E3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 w:rsidRPr="000E76E3">
              <w:rPr>
                <w:rFonts w:ascii="Calibri" w:hAnsi="Calibri"/>
                <w:color w:val="000000"/>
                <w:sz w:val="22"/>
                <w:szCs w:val="22"/>
              </w:rPr>
              <w:t>1.297.320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1.281.608</w:t>
            </w:r>
          </w:p>
        </w:tc>
        <w:tc>
          <w:tcPr>
            <w:tcW w:w="1294" w:type="dxa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1.301.923</w:t>
            </w:r>
          </w:p>
        </w:tc>
      </w:tr>
      <w:tr w:rsidR="00754333" w:rsidRPr="00C3726A" w:rsidTr="00FF46EE">
        <w:trPr>
          <w:gridAfter w:val="1"/>
          <w:wAfter w:w="28" w:type="dxa"/>
          <w:trHeight w:val="315"/>
          <w:jc w:val="center"/>
        </w:trPr>
        <w:tc>
          <w:tcPr>
            <w:tcW w:w="3025" w:type="dxa"/>
            <w:noWrap/>
            <w:vAlign w:val="center"/>
          </w:tcPr>
          <w:p w:rsidR="00754333" w:rsidRPr="00C3726A" w:rsidRDefault="00754333" w:rsidP="00874894">
            <w:pPr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ALTRI PROVENTI</w:t>
            </w:r>
          </w:p>
        </w:tc>
        <w:tc>
          <w:tcPr>
            <w:tcW w:w="1275" w:type="dxa"/>
            <w:vAlign w:val="center"/>
          </w:tcPr>
          <w:p w:rsidR="00754333" w:rsidRPr="000E76E3" w:rsidRDefault="00754333" w:rsidP="006838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732.666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758.320</w:t>
            </w:r>
          </w:p>
        </w:tc>
        <w:tc>
          <w:tcPr>
            <w:tcW w:w="1294" w:type="dxa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847.667</w:t>
            </w:r>
          </w:p>
        </w:tc>
      </w:tr>
      <w:tr w:rsidR="00754333" w:rsidRPr="00C3726A" w:rsidTr="00FF46EE">
        <w:trPr>
          <w:gridAfter w:val="1"/>
          <w:wAfter w:w="28" w:type="dxa"/>
          <w:trHeight w:val="600"/>
          <w:jc w:val="center"/>
        </w:trPr>
        <w:tc>
          <w:tcPr>
            <w:tcW w:w="3025" w:type="dxa"/>
            <w:vAlign w:val="center"/>
          </w:tcPr>
          <w:p w:rsidR="00754333" w:rsidRPr="00C3726A" w:rsidRDefault="00754333" w:rsidP="00874894">
            <w:pPr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GESTIONE FINANZIARIA E STRAORDINARIA</w:t>
            </w:r>
          </w:p>
        </w:tc>
        <w:tc>
          <w:tcPr>
            <w:tcW w:w="1275" w:type="dxa"/>
            <w:vAlign w:val="center"/>
          </w:tcPr>
          <w:p w:rsidR="00754333" w:rsidRPr="000E76E3" w:rsidRDefault="00754333" w:rsidP="0068387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567.796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147.334</w:t>
            </w:r>
          </w:p>
        </w:tc>
        <w:tc>
          <w:tcPr>
            <w:tcW w:w="1294" w:type="dxa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1.185.136</w:t>
            </w:r>
          </w:p>
        </w:tc>
      </w:tr>
      <w:tr w:rsidR="00754333" w:rsidRPr="00C3726A" w:rsidTr="00FF46EE">
        <w:trPr>
          <w:gridAfter w:val="1"/>
          <w:wAfter w:w="28" w:type="dxa"/>
          <w:trHeight w:val="291"/>
          <w:jc w:val="center"/>
        </w:trPr>
        <w:tc>
          <w:tcPr>
            <w:tcW w:w="3025" w:type="dxa"/>
            <w:shd w:val="clear" w:color="000000" w:fill="D8D8D8"/>
            <w:noWrap/>
            <w:vAlign w:val="center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72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TOTALE FONTI</w:t>
            </w:r>
          </w:p>
        </w:tc>
        <w:tc>
          <w:tcPr>
            <w:tcW w:w="1275" w:type="dxa"/>
            <w:shd w:val="clear" w:color="000000" w:fill="D8D8D8"/>
            <w:vAlign w:val="center"/>
          </w:tcPr>
          <w:p w:rsidR="00754333" w:rsidRPr="0068387D" w:rsidRDefault="00754333" w:rsidP="001B112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6838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7.005.803</w:t>
            </w:r>
          </w:p>
        </w:tc>
        <w:tc>
          <w:tcPr>
            <w:tcW w:w="1276" w:type="dxa"/>
            <w:gridSpan w:val="2"/>
            <w:shd w:val="clear" w:color="000000" w:fill="D8D8D8"/>
            <w:noWrap/>
            <w:vAlign w:val="center"/>
          </w:tcPr>
          <w:p w:rsidR="00754333" w:rsidRPr="00C3726A" w:rsidRDefault="00754333" w:rsidP="00870FE9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6.187.288</w:t>
            </w:r>
          </w:p>
        </w:tc>
        <w:tc>
          <w:tcPr>
            <w:tcW w:w="1294" w:type="dxa"/>
            <w:shd w:val="clear" w:color="000000" w:fill="D8D8D8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C372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9.447.315</w:t>
            </w:r>
          </w:p>
        </w:tc>
      </w:tr>
      <w:tr w:rsidR="00754333" w:rsidRPr="00C3726A" w:rsidTr="00FF46EE">
        <w:trPr>
          <w:gridAfter w:val="1"/>
          <w:wAfter w:w="28" w:type="dxa"/>
          <w:trHeight w:val="300"/>
          <w:jc w:val="center"/>
        </w:trPr>
        <w:tc>
          <w:tcPr>
            <w:tcW w:w="3025" w:type="dxa"/>
            <w:noWrap/>
            <w:vAlign w:val="bottom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94" w:type="dxa"/>
            <w:noWrap/>
            <w:vAlign w:val="bottom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54333" w:rsidRPr="00C3726A" w:rsidTr="00FF46EE">
        <w:trPr>
          <w:gridAfter w:val="1"/>
          <w:wAfter w:w="28" w:type="dxa"/>
          <w:trHeight w:val="390"/>
          <w:jc w:val="center"/>
        </w:trPr>
        <w:tc>
          <w:tcPr>
            <w:tcW w:w="3025" w:type="dxa"/>
            <w:shd w:val="clear" w:color="000000" w:fill="D8D8D8"/>
            <w:noWrap/>
            <w:vAlign w:val="center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72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IMPIEGHI</w:t>
            </w:r>
          </w:p>
        </w:tc>
        <w:tc>
          <w:tcPr>
            <w:tcW w:w="1275" w:type="dxa"/>
            <w:shd w:val="clear" w:color="000000" w:fill="D8D8D8"/>
            <w:vAlign w:val="center"/>
          </w:tcPr>
          <w:p w:rsidR="00754333" w:rsidRPr="00FF46EE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F46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76" w:type="dxa"/>
            <w:gridSpan w:val="2"/>
            <w:shd w:val="clear" w:color="000000" w:fill="D8D8D8"/>
            <w:noWrap/>
            <w:vAlign w:val="center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94" w:type="dxa"/>
            <w:shd w:val="clear" w:color="000000" w:fill="D8D8D8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C372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2014</w:t>
            </w:r>
          </w:p>
        </w:tc>
      </w:tr>
      <w:tr w:rsidR="00754333" w:rsidRPr="00C3726A" w:rsidTr="00FF46EE">
        <w:trPr>
          <w:gridAfter w:val="1"/>
          <w:wAfter w:w="28" w:type="dxa"/>
          <w:trHeight w:val="300"/>
          <w:jc w:val="center"/>
        </w:trPr>
        <w:tc>
          <w:tcPr>
            <w:tcW w:w="3025" w:type="dxa"/>
            <w:noWrap/>
            <w:vAlign w:val="center"/>
          </w:tcPr>
          <w:p w:rsidR="00754333" w:rsidRPr="00C3726A" w:rsidRDefault="00754333" w:rsidP="00874894">
            <w:pPr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PERSONALE</w:t>
            </w:r>
          </w:p>
        </w:tc>
        <w:tc>
          <w:tcPr>
            <w:tcW w:w="1275" w:type="dxa"/>
            <w:vAlign w:val="center"/>
          </w:tcPr>
          <w:p w:rsidR="00754333" w:rsidRPr="00494877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2.311.721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2.298.079</w:t>
            </w:r>
          </w:p>
        </w:tc>
        <w:tc>
          <w:tcPr>
            <w:tcW w:w="1294" w:type="dxa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2.320.991</w:t>
            </w:r>
          </w:p>
        </w:tc>
      </w:tr>
      <w:tr w:rsidR="00754333" w:rsidRPr="00C3726A" w:rsidTr="00FF46EE">
        <w:trPr>
          <w:gridAfter w:val="1"/>
          <w:wAfter w:w="28" w:type="dxa"/>
          <w:trHeight w:val="300"/>
          <w:jc w:val="center"/>
        </w:trPr>
        <w:tc>
          <w:tcPr>
            <w:tcW w:w="3025" w:type="dxa"/>
            <w:noWrap/>
            <w:vAlign w:val="center"/>
          </w:tcPr>
          <w:p w:rsidR="00754333" w:rsidRPr="00C3726A" w:rsidRDefault="00754333" w:rsidP="00874894">
            <w:pPr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FUNZIONAMENTO</w:t>
            </w:r>
          </w:p>
        </w:tc>
        <w:tc>
          <w:tcPr>
            <w:tcW w:w="1275" w:type="dxa"/>
            <w:vAlign w:val="center"/>
          </w:tcPr>
          <w:p w:rsidR="00754333" w:rsidRPr="00494877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1.429.272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1.502.219</w:t>
            </w:r>
          </w:p>
        </w:tc>
        <w:tc>
          <w:tcPr>
            <w:tcW w:w="1294" w:type="dxa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 w:cs="Calibri"/>
                <w:color w:val="000000"/>
                <w:sz w:val="22"/>
                <w:szCs w:val="22"/>
              </w:rPr>
              <w:t>1.909.005</w:t>
            </w:r>
          </w:p>
        </w:tc>
      </w:tr>
      <w:tr w:rsidR="00754333" w:rsidRPr="00C3726A" w:rsidTr="00FF46EE">
        <w:trPr>
          <w:gridAfter w:val="1"/>
          <w:wAfter w:w="28" w:type="dxa"/>
          <w:trHeight w:val="300"/>
          <w:jc w:val="center"/>
        </w:trPr>
        <w:tc>
          <w:tcPr>
            <w:tcW w:w="3025" w:type="dxa"/>
            <w:noWrap/>
            <w:vAlign w:val="center"/>
          </w:tcPr>
          <w:p w:rsidR="00754333" w:rsidRPr="00C3726A" w:rsidRDefault="00754333" w:rsidP="00874894">
            <w:pPr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/>
                <w:color w:val="000000"/>
                <w:sz w:val="22"/>
                <w:szCs w:val="22"/>
              </w:rPr>
              <w:t>INIZIATIVE ECONOMICHE</w:t>
            </w:r>
          </w:p>
        </w:tc>
        <w:tc>
          <w:tcPr>
            <w:tcW w:w="1275" w:type="dxa"/>
            <w:vAlign w:val="center"/>
          </w:tcPr>
          <w:p w:rsidR="00754333" w:rsidRPr="00494877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1.447.718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1.211.853</w:t>
            </w:r>
          </w:p>
        </w:tc>
        <w:tc>
          <w:tcPr>
            <w:tcW w:w="1294" w:type="dxa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/>
                <w:color w:val="000000"/>
                <w:sz w:val="22"/>
                <w:szCs w:val="22"/>
              </w:rPr>
              <w:t>2.836.620</w:t>
            </w:r>
          </w:p>
        </w:tc>
      </w:tr>
      <w:tr w:rsidR="00754333" w:rsidRPr="00C3726A" w:rsidTr="00FF46EE">
        <w:trPr>
          <w:gridAfter w:val="1"/>
          <w:wAfter w:w="28" w:type="dxa"/>
          <w:trHeight w:val="600"/>
          <w:jc w:val="center"/>
        </w:trPr>
        <w:tc>
          <w:tcPr>
            <w:tcW w:w="3025" w:type="dxa"/>
            <w:vAlign w:val="center"/>
          </w:tcPr>
          <w:p w:rsidR="00754333" w:rsidRPr="00C3726A" w:rsidRDefault="00754333" w:rsidP="00874894">
            <w:pPr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/>
                <w:color w:val="000000"/>
                <w:sz w:val="22"/>
                <w:szCs w:val="22"/>
              </w:rPr>
              <w:t>AMMORTAMENTI E ACCANTONAMENTI</w:t>
            </w:r>
          </w:p>
        </w:tc>
        <w:tc>
          <w:tcPr>
            <w:tcW w:w="1275" w:type="dxa"/>
            <w:vAlign w:val="center"/>
          </w:tcPr>
          <w:p w:rsidR="00754333" w:rsidRPr="00CA1520" w:rsidRDefault="00754333" w:rsidP="00E82A00">
            <w:pPr>
              <w:jc w:val="right"/>
              <w:rPr>
                <w:rFonts w:ascii="Calibri" w:hAnsi="Calibri"/>
              </w:rPr>
            </w:pPr>
            <w:r w:rsidRPr="00CA1520">
              <w:rPr>
                <w:rFonts w:ascii="Calibri" w:hAnsi="Calibri"/>
                <w:sz w:val="22"/>
                <w:szCs w:val="22"/>
              </w:rPr>
              <w:t>1.686.797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1.465.371</w:t>
            </w:r>
          </w:p>
        </w:tc>
        <w:tc>
          <w:tcPr>
            <w:tcW w:w="1294" w:type="dxa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/>
                <w:color w:val="000000"/>
                <w:sz w:val="22"/>
                <w:szCs w:val="22"/>
              </w:rPr>
              <w:t>2.163.089</w:t>
            </w:r>
          </w:p>
        </w:tc>
      </w:tr>
      <w:tr w:rsidR="00754333" w:rsidRPr="00C3726A" w:rsidTr="00FF46EE">
        <w:trPr>
          <w:gridAfter w:val="1"/>
          <w:wAfter w:w="28" w:type="dxa"/>
          <w:trHeight w:val="600"/>
          <w:jc w:val="center"/>
        </w:trPr>
        <w:tc>
          <w:tcPr>
            <w:tcW w:w="3025" w:type="dxa"/>
            <w:vAlign w:val="center"/>
          </w:tcPr>
          <w:p w:rsidR="00754333" w:rsidRPr="00C3726A" w:rsidRDefault="00754333" w:rsidP="00874894">
            <w:pPr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/>
                <w:color w:val="000000"/>
                <w:sz w:val="22"/>
                <w:szCs w:val="22"/>
              </w:rPr>
              <w:t>GESTIONE FINANZIARIA E STRAORDINARIA</w:t>
            </w:r>
          </w:p>
        </w:tc>
        <w:tc>
          <w:tcPr>
            <w:tcW w:w="1275" w:type="dxa"/>
            <w:vAlign w:val="center"/>
          </w:tcPr>
          <w:p w:rsidR="00754333" w:rsidRPr="00CA1520" w:rsidRDefault="00754333" w:rsidP="00E82A00">
            <w:pPr>
              <w:jc w:val="right"/>
              <w:rPr>
                <w:rFonts w:ascii="Calibri" w:hAnsi="Calibri"/>
              </w:rPr>
            </w:pPr>
            <w:r w:rsidRPr="00CA1520">
              <w:rPr>
                <w:rFonts w:ascii="Calibri" w:hAnsi="Calibri"/>
                <w:sz w:val="22"/>
                <w:szCs w:val="22"/>
              </w:rPr>
              <w:t>123.646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19.374</w:t>
            </w:r>
          </w:p>
        </w:tc>
        <w:tc>
          <w:tcPr>
            <w:tcW w:w="1294" w:type="dxa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145.966</w:t>
            </w:r>
          </w:p>
        </w:tc>
      </w:tr>
      <w:tr w:rsidR="00754333" w:rsidRPr="00C3726A" w:rsidTr="00FF46EE">
        <w:trPr>
          <w:gridAfter w:val="1"/>
          <w:wAfter w:w="28" w:type="dxa"/>
          <w:trHeight w:val="600"/>
          <w:jc w:val="center"/>
        </w:trPr>
        <w:tc>
          <w:tcPr>
            <w:tcW w:w="3025" w:type="dxa"/>
            <w:vAlign w:val="center"/>
          </w:tcPr>
          <w:p w:rsidR="00754333" w:rsidRPr="00C3726A" w:rsidRDefault="00754333" w:rsidP="00874894">
            <w:pPr>
              <w:rPr>
                <w:rFonts w:ascii="Calibri" w:hAnsi="Calibri"/>
                <w:color w:val="000000"/>
              </w:rPr>
            </w:pPr>
            <w:r w:rsidRPr="00C3726A">
              <w:rPr>
                <w:rFonts w:ascii="Calibri" w:hAnsi="Calibri"/>
                <w:color w:val="000000"/>
                <w:sz w:val="22"/>
                <w:szCs w:val="22"/>
              </w:rPr>
              <w:t>SRIVALUTAZIONE ATTIVO PATRIMONIALE</w:t>
            </w:r>
          </w:p>
        </w:tc>
        <w:tc>
          <w:tcPr>
            <w:tcW w:w="1275" w:type="dxa"/>
            <w:vAlign w:val="center"/>
          </w:tcPr>
          <w:p w:rsidR="00754333" w:rsidRPr="00CA1520" w:rsidRDefault="00754333" w:rsidP="00E82A00">
            <w:pPr>
              <w:jc w:val="right"/>
              <w:rPr>
                <w:rFonts w:ascii="Calibri" w:hAnsi="Calibri"/>
              </w:rPr>
            </w:pPr>
            <w:r w:rsidRPr="00CA1520">
              <w:rPr>
                <w:rFonts w:ascii="Calibri" w:hAnsi="Calibri"/>
                <w:sz w:val="22"/>
                <w:szCs w:val="22"/>
              </w:rPr>
              <w:t>1.148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4" w:type="dxa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3.960</w:t>
            </w:r>
          </w:p>
        </w:tc>
      </w:tr>
      <w:tr w:rsidR="00754333" w:rsidRPr="00C3726A" w:rsidTr="00FF46EE">
        <w:trPr>
          <w:gridAfter w:val="1"/>
          <w:wAfter w:w="28" w:type="dxa"/>
          <w:trHeight w:val="390"/>
          <w:jc w:val="center"/>
        </w:trPr>
        <w:tc>
          <w:tcPr>
            <w:tcW w:w="3025" w:type="dxa"/>
            <w:shd w:val="clear" w:color="000000" w:fill="D8D8D8"/>
            <w:noWrap/>
            <w:vAlign w:val="center"/>
          </w:tcPr>
          <w:p w:rsidR="00754333" w:rsidRPr="00C3726A" w:rsidRDefault="00754333" w:rsidP="001E7E6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72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TOTALE IMPIEGHI</w:t>
            </w:r>
          </w:p>
        </w:tc>
        <w:tc>
          <w:tcPr>
            <w:tcW w:w="1275" w:type="dxa"/>
            <w:shd w:val="clear" w:color="000000" w:fill="D8D8D8"/>
            <w:vAlign w:val="center"/>
          </w:tcPr>
          <w:p w:rsidR="00754333" w:rsidRPr="00CA1520" w:rsidRDefault="00754333" w:rsidP="00B43CD5">
            <w:pPr>
              <w:jc w:val="right"/>
              <w:rPr>
                <w:rFonts w:ascii="Calibri" w:hAnsi="Calibri"/>
                <w:b/>
                <w:bCs/>
              </w:rPr>
            </w:pPr>
            <w:r w:rsidRPr="00CA1520">
              <w:rPr>
                <w:rFonts w:ascii="Calibri" w:hAnsi="Calibri"/>
                <w:b/>
                <w:bCs/>
                <w:sz w:val="22"/>
                <w:szCs w:val="22"/>
              </w:rPr>
              <w:t>7.000.302</w:t>
            </w:r>
          </w:p>
        </w:tc>
        <w:tc>
          <w:tcPr>
            <w:tcW w:w="1276" w:type="dxa"/>
            <w:gridSpan w:val="2"/>
            <w:shd w:val="clear" w:color="000000" w:fill="D8D8D8"/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6.496.896</w:t>
            </w:r>
          </w:p>
        </w:tc>
        <w:tc>
          <w:tcPr>
            <w:tcW w:w="1294" w:type="dxa"/>
            <w:shd w:val="clear" w:color="000000" w:fill="D8D8D8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9.379.631</w:t>
            </w:r>
          </w:p>
        </w:tc>
      </w:tr>
      <w:tr w:rsidR="00754333" w:rsidRPr="00C3726A" w:rsidTr="00FF46EE">
        <w:trPr>
          <w:gridAfter w:val="1"/>
          <w:wAfter w:w="28" w:type="dxa"/>
          <w:trHeight w:val="80"/>
          <w:jc w:val="center"/>
        </w:trPr>
        <w:tc>
          <w:tcPr>
            <w:tcW w:w="302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754333" w:rsidRPr="00CA1520" w:rsidRDefault="00754333" w:rsidP="00E82A00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754333" w:rsidRPr="00C3726A" w:rsidRDefault="00754333" w:rsidP="00E82A0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54333" w:rsidRPr="00874894" w:rsidTr="00FF46EE">
        <w:trPr>
          <w:gridAfter w:val="1"/>
          <w:wAfter w:w="28" w:type="dxa"/>
          <w:trHeight w:val="300"/>
          <w:jc w:val="center"/>
        </w:trPr>
        <w:tc>
          <w:tcPr>
            <w:tcW w:w="3025" w:type="dxa"/>
            <w:tcBorders>
              <w:top w:val="nil"/>
              <w:left w:val="nil"/>
              <w:right w:val="nil"/>
            </w:tcBorders>
            <w:shd w:val="clear" w:color="000000" w:fill="BFBFBF"/>
            <w:vAlign w:val="center"/>
          </w:tcPr>
          <w:p w:rsidR="00754333" w:rsidRPr="00C3726A" w:rsidRDefault="00754333" w:rsidP="0087489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372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UTILE/PERDITA D'E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SERCIZIO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BFBFBF"/>
            <w:vAlign w:val="center"/>
          </w:tcPr>
          <w:p w:rsidR="00754333" w:rsidRPr="00CA1520" w:rsidRDefault="00754333" w:rsidP="00870FE9">
            <w:pPr>
              <w:jc w:val="right"/>
              <w:rPr>
                <w:rFonts w:ascii="Calibri" w:hAnsi="Calibri"/>
                <w:b/>
                <w:bCs/>
              </w:rPr>
            </w:pPr>
            <w:r w:rsidRPr="00CA1520">
              <w:rPr>
                <w:rFonts w:ascii="Calibri" w:hAnsi="Calibri"/>
                <w:b/>
                <w:bCs/>
                <w:sz w:val="22"/>
                <w:szCs w:val="22"/>
              </w:rPr>
              <w:t>5.50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center"/>
          </w:tcPr>
          <w:p w:rsidR="00754333" w:rsidRPr="00C3726A" w:rsidRDefault="00754333" w:rsidP="00870FE9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C372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309.605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center"/>
          </w:tcPr>
          <w:p w:rsidR="00754333" w:rsidRPr="00C3726A" w:rsidRDefault="00754333" w:rsidP="00C3726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67.684</w:t>
            </w:r>
          </w:p>
        </w:tc>
      </w:tr>
      <w:tr w:rsidR="00754333" w:rsidRPr="00874894" w:rsidTr="0068387D">
        <w:trPr>
          <w:trHeight w:val="300"/>
          <w:jc w:val="center"/>
        </w:trPr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754333" w:rsidRPr="00E82A00" w:rsidRDefault="00754333" w:rsidP="002175E7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E82A00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Nota: </w:t>
            </w: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eventuali differenze nelle somme algebriche sono dovute agli arrotondamenti delle singole voci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754333" w:rsidRPr="00E82A00" w:rsidRDefault="00754333" w:rsidP="002175E7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</w:tr>
    </w:tbl>
    <w:p w:rsidR="00754333" w:rsidRDefault="00754333" w:rsidP="00DF5A5E">
      <w:pPr>
        <w:jc w:val="both"/>
        <w:rPr>
          <w:rFonts w:ascii="Tw Cen MT" w:hAnsi="Tw Cen MT" w:cs="Tw Cen MT"/>
        </w:rPr>
      </w:pPr>
    </w:p>
    <w:p w:rsidR="00754333" w:rsidRDefault="00754333" w:rsidP="00DF5A5E">
      <w:pPr>
        <w:jc w:val="both"/>
        <w:rPr>
          <w:rFonts w:ascii="Tw Cen MT" w:hAnsi="Tw Cen MT" w:cs="Tw Cen MT"/>
        </w:rPr>
      </w:pPr>
    </w:p>
    <w:p w:rsidR="00754333" w:rsidRDefault="00754333" w:rsidP="00686D3E">
      <w:pPr>
        <w:jc w:val="both"/>
        <w:rPr>
          <w:rFonts w:ascii="Tw Cen MT" w:hAnsi="Tw Cen MT" w:cs="Tw Cen MT"/>
        </w:rPr>
      </w:pPr>
    </w:p>
    <w:p w:rsidR="00754333" w:rsidRDefault="00754333" w:rsidP="00686D3E">
      <w:pPr>
        <w:jc w:val="both"/>
        <w:rPr>
          <w:rFonts w:ascii="Tw Cen MT" w:hAnsi="Tw Cen MT" w:cs="Tw Cen MT"/>
        </w:rPr>
      </w:pPr>
    </w:p>
    <w:p w:rsidR="00754333" w:rsidRDefault="00754333" w:rsidP="00686D3E">
      <w:pPr>
        <w:jc w:val="both"/>
        <w:rPr>
          <w:rFonts w:ascii="Tw Cen MT" w:hAnsi="Tw Cen MT" w:cs="Tw Cen MT"/>
        </w:rPr>
      </w:pPr>
    </w:p>
    <w:p w:rsidR="00754333" w:rsidRDefault="00754333" w:rsidP="00686D3E">
      <w:pPr>
        <w:jc w:val="both"/>
        <w:rPr>
          <w:rFonts w:ascii="Tw Cen MT" w:hAnsi="Tw Cen MT" w:cs="Tw Cen MT"/>
        </w:rPr>
      </w:pPr>
    </w:p>
    <w:p w:rsidR="00754333" w:rsidRDefault="00754333">
      <w:pPr>
        <w:rPr>
          <w:rFonts w:ascii="Tw Cen MT" w:hAnsi="Tw Cen MT"/>
          <w:b/>
          <w:color w:val="000000"/>
        </w:rPr>
      </w:pPr>
    </w:p>
    <w:p w:rsidR="00754333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</w:p>
    <w:p w:rsidR="00754333" w:rsidRPr="00CB7B7E" w:rsidRDefault="00754333" w:rsidP="003B5C17">
      <w:pPr>
        <w:ind w:right="-6"/>
        <w:jc w:val="both"/>
        <w:rPr>
          <w:rFonts w:ascii="Tw Cen MT" w:hAnsi="Tw Cen MT"/>
          <w:color w:val="000000"/>
        </w:rPr>
      </w:pPr>
      <w:r w:rsidRPr="00255DEB">
        <w:rPr>
          <w:rFonts w:ascii="Tw Cen MT" w:hAnsi="Tw Cen MT"/>
          <w:b/>
          <w:color w:val="FF0000"/>
        </w:rPr>
        <w:tab/>
      </w:r>
    </w:p>
    <w:p w:rsidR="00754333" w:rsidRPr="00255DEB" w:rsidRDefault="00754333" w:rsidP="003B5C17">
      <w:pPr>
        <w:spacing w:after="120"/>
        <w:ind w:right="-6"/>
        <w:jc w:val="both"/>
        <w:rPr>
          <w:rFonts w:ascii="Tw Cen MT" w:hAnsi="Tw Cen MT"/>
          <w:b/>
          <w:bCs/>
          <w:color w:val="FF0000"/>
        </w:rPr>
      </w:pPr>
    </w:p>
    <w:p w:rsidR="00754333" w:rsidRPr="00CB7B7E" w:rsidRDefault="00754333" w:rsidP="003B5C17">
      <w:pPr>
        <w:spacing w:after="120"/>
        <w:ind w:right="-6"/>
        <w:jc w:val="both"/>
        <w:rPr>
          <w:rFonts w:ascii="Tw Cen MT" w:hAnsi="Tw Cen MT"/>
          <w:b/>
          <w:bCs/>
          <w:color w:val="000000"/>
          <w:sz w:val="28"/>
          <w:szCs w:val="28"/>
        </w:rPr>
      </w:pPr>
      <w:r w:rsidRPr="00CB7B7E">
        <w:rPr>
          <w:rFonts w:ascii="Tw Cen MT" w:hAnsi="Tw Cen MT"/>
          <w:b/>
          <w:bCs/>
          <w:color w:val="000000"/>
          <w:sz w:val="28"/>
          <w:szCs w:val="28"/>
        </w:rPr>
        <w:t>Gestione corrente</w:t>
      </w:r>
    </w:p>
    <w:p w:rsidR="00754333" w:rsidRPr="00E56C05" w:rsidRDefault="00754333" w:rsidP="003B5C17">
      <w:pPr>
        <w:spacing w:after="120"/>
        <w:ind w:right="-6"/>
        <w:jc w:val="both"/>
        <w:rPr>
          <w:rFonts w:ascii="Tw Cen MT" w:hAnsi="Tw Cen MT"/>
          <w:bCs/>
          <w:color w:val="000000"/>
        </w:rPr>
      </w:pPr>
      <w:r w:rsidRPr="00E56C05">
        <w:rPr>
          <w:rFonts w:ascii="Tw Cen MT" w:hAnsi="Tw Cen MT"/>
          <w:bCs/>
          <w:color w:val="000000"/>
        </w:rPr>
        <w:t xml:space="preserve"> </w:t>
      </w:r>
    </w:p>
    <w:p w:rsidR="00754333" w:rsidRPr="00E56C05" w:rsidRDefault="00754333" w:rsidP="003B5C17">
      <w:pPr>
        <w:spacing w:after="120"/>
        <w:ind w:right="-6" w:firstLine="708"/>
        <w:jc w:val="both"/>
        <w:rPr>
          <w:rFonts w:ascii="Tw Cen MT" w:hAnsi="Tw Cen MT"/>
          <w:b/>
          <w:bCs/>
          <w:i/>
          <w:color w:val="000000"/>
        </w:rPr>
      </w:pPr>
      <w:r w:rsidRPr="00E56C05">
        <w:rPr>
          <w:rFonts w:ascii="Tw Cen MT" w:hAnsi="Tw Cen MT"/>
          <w:b/>
          <w:bCs/>
          <w:i/>
          <w:color w:val="000000"/>
        </w:rPr>
        <w:t>Proventi</w:t>
      </w:r>
    </w:p>
    <w:p w:rsidR="00754333" w:rsidRPr="00255DEB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</w:p>
    <w:p w:rsidR="00754333" w:rsidRPr="00255DEB" w:rsidRDefault="00754333" w:rsidP="003B5C17">
      <w:pPr>
        <w:ind w:right="-6"/>
        <w:jc w:val="center"/>
        <w:rPr>
          <w:rFonts w:ascii="Tw Cen MT" w:hAnsi="Tw Cen MT"/>
          <w:b/>
          <w:color w:val="FF0000"/>
        </w:rPr>
      </w:pPr>
      <w:r w:rsidRPr="00255DEB">
        <w:rPr>
          <w:rFonts w:ascii="Tw Cen MT" w:hAnsi="Tw Cen MT"/>
          <w:color w:val="FF0000"/>
        </w:rPr>
        <w:object w:dxaOrig="8874" w:dyaOrig="2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99.75pt" o:ole="">
            <v:imagedata r:id="rId7" o:title=""/>
          </v:shape>
          <o:OLEObject Type="Embed" ProgID="Excel.Sheet.8" ShapeID="_x0000_i1025" DrawAspect="Content" ObjectID="_1738413080" r:id="rId8"/>
        </w:object>
      </w:r>
    </w:p>
    <w:p w:rsidR="00754333" w:rsidRPr="00255DEB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</w:p>
    <w:p w:rsidR="00754333" w:rsidRPr="00255DEB" w:rsidRDefault="00754333" w:rsidP="003B5C17">
      <w:pPr>
        <w:ind w:right="-6"/>
        <w:jc w:val="both"/>
        <w:rPr>
          <w:rFonts w:ascii="Tw Cen MT" w:hAnsi="Tw Cen MT"/>
          <w:color w:val="FF0000"/>
        </w:rPr>
      </w:pPr>
      <w:r w:rsidRPr="001A5C7E">
        <w:rPr>
          <w:rFonts w:ascii="Tw Cen MT" w:hAnsi="Tw Cen MT"/>
        </w:rPr>
        <w:t xml:space="preserve">      </w:t>
      </w:r>
      <w:r w:rsidR="00AA2B49" w:rsidRPr="006A6AA1">
        <w:rPr>
          <w:rFonts w:ascii="Tw Cen MT" w:hAnsi="Tw Cen MT"/>
          <w:b/>
          <w:noProof/>
          <w:color w:val="FF0000"/>
        </w:rPr>
        <w:drawing>
          <wp:inline distT="0" distB="0" distL="0" distR="0">
            <wp:extent cx="4895850" cy="5410200"/>
            <wp:effectExtent l="0" t="0" r="0" b="0"/>
            <wp:docPr id="2" name="Ogget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54333" w:rsidRPr="00401E2B" w:rsidRDefault="00754333" w:rsidP="003B5C17">
      <w:pPr>
        <w:ind w:right="-6"/>
        <w:jc w:val="both"/>
        <w:rPr>
          <w:rFonts w:ascii="Tw Cen MT" w:hAnsi="Tw Cen MT"/>
        </w:rPr>
      </w:pPr>
      <w:r w:rsidRPr="00255DEB">
        <w:rPr>
          <w:rFonts w:ascii="Tw Cen MT" w:hAnsi="Tw Cen MT"/>
          <w:color w:val="FF0000"/>
        </w:rPr>
        <w:lastRenderedPageBreak/>
        <w:tab/>
      </w:r>
      <w:r w:rsidRPr="00401E2B">
        <w:rPr>
          <w:rFonts w:ascii="Tw Cen MT" w:hAnsi="Tw Cen MT"/>
        </w:rPr>
        <w:t xml:space="preserve">Nel loro complesso i proventi correnti mostrano un </w:t>
      </w:r>
      <w:r>
        <w:rPr>
          <w:rFonts w:ascii="Tw Cen MT" w:hAnsi="Tw Cen MT"/>
        </w:rPr>
        <w:t>aumento</w:t>
      </w:r>
      <w:r w:rsidRPr="00401E2B">
        <w:rPr>
          <w:rFonts w:ascii="Tw Cen MT" w:hAnsi="Tw Cen MT"/>
        </w:rPr>
        <w:t xml:space="preserve"> del </w:t>
      </w:r>
      <w:r>
        <w:rPr>
          <w:rFonts w:ascii="Tw Cen MT" w:hAnsi="Tw Cen MT"/>
        </w:rPr>
        <w:t>6,59</w:t>
      </w:r>
      <w:r w:rsidRPr="00401E2B">
        <w:rPr>
          <w:rFonts w:ascii="Tw Cen MT" w:hAnsi="Tw Cen MT"/>
        </w:rPr>
        <w:t>% rispetto al 201</w:t>
      </w:r>
      <w:r>
        <w:rPr>
          <w:rFonts w:ascii="Tw Cen MT" w:hAnsi="Tw Cen MT"/>
        </w:rPr>
        <w:t>5</w:t>
      </w:r>
      <w:r w:rsidRPr="00401E2B">
        <w:rPr>
          <w:rFonts w:ascii="Tw Cen MT" w:hAnsi="Tw Cen MT"/>
        </w:rPr>
        <w:t>, per le motivazioni prima indicate.</w:t>
      </w:r>
    </w:p>
    <w:p w:rsidR="00754333" w:rsidRPr="00401E2B" w:rsidRDefault="00754333" w:rsidP="003B5C17">
      <w:pPr>
        <w:ind w:right="-6"/>
        <w:jc w:val="both"/>
        <w:rPr>
          <w:rFonts w:ascii="Tw Cen MT" w:hAnsi="Tw Cen MT"/>
        </w:rPr>
      </w:pPr>
    </w:p>
    <w:p w:rsidR="00754333" w:rsidRDefault="00754333" w:rsidP="003B5C17">
      <w:pPr>
        <w:ind w:right="-6"/>
        <w:jc w:val="both"/>
        <w:rPr>
          <w:rFonts w:ascii="Tw Cen MT" w:hAnsi="Tw Cen MT"/>
        </w:rPr>
      </w:pPr>
      <w:r>
        <w:rPr>
          <w:rFonts w:ascii="Tw Cen MT" w:hAnsi="Tw Cen MT"/>
        </w:rPr>
        <w:tab/>
        <w:t>Il raffronto della loro composizione percentuale risente in maniera determinante dell’incremento del diritto annuale, che si conferma la principale fonte di gettito dell’Ente, per le motivazioni più sopra indicate.</w:t>
      </w:r>
    </w:p>
    <w:p w:rsidR="00754333" w:rsidRPr="00BD7F39" w:rsidRDefault="00754333" w:rsidP="003B5C17">
      <w:pPr>
        <w:ind w:right="-6"/>
        <w:jc w:val="both"/>
        <w:rPr>
          <w:rFonts w:ascii="Tw Cen MT" w:hAnsi="Tw Cen MT"/>
          <w:highlight w:val="yellow"/>
        </w:rPr>
      </w:pPr>
    </w:p>
    <w:p w:rsidR="00754333" w:rsidRDefault="00AA2B49" w:rsidP="003B5C17">
      <w:pPr>
        <w:ind w:right="-6"/>
        <w:jc w:val="both"/>
      </w:pPr>
      <w:r w:rsidRPr="00543562">
        <w:rPr>
          <w:noProof/>
        </w:rPr>
        <w:drawing>
          <wp:inline distT="0" distB="0" distL="0" distR="0">
            <wp:extent cx="6353175" cy="3648075"/>
            <wp:effectExtent l="0" t="0" r="0" b="0"/>
            <wp:docPr id="3" name="Ogget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4333" w:rsidRPr="005A1B1C" w:rsidRDefault="00754333" w:rsidP="003B5C17">
      <w:pPr>
        <w:ind w:right="-6"/>
        <w:jc w:val="both"/>
        <w:rPr>
          <w:sz w:val="12"/>
          <w:szCs w:val="12"/>
        </w:rPr>
      </w:pPr>
    </w:p>
    <w:p w:rsidR="00754333" w:rsidRPr="00255DEB" w:rsidRDefault="00754333" w:rsidP="009521A1">
      <w:pPr>
        <w:ind w:right="-6"/>
        <w:jc w:val="both"/>
        <w:rPr>
          <w:rFonts w:ascii="Tw Cen MT" w:hAnsi="Tw Cen MT"/>
          <w:b/>
          <w:i/>
          <w:color w:val="FF0000"/>
        </w:rPr>
      </w:pPr>
      <w:r w:rsidRPr="005A1B1C">
        <w:rPr>
          <w:sz w:val="18"/>
          <w:szCs w:val="18"/>
        </w:rPr>
        <w:t xml:space="preserve"> </w:t>
      </w:r>
      <w:r w:rsidRPr="005A1B1C">
        <w:rPr>
          <w:rFonts w:ascii="Tw Cen MT" w:hAnsi="Tw Cen MT"/>
          <w:sz w:val="18"/>
          <w:szCs w:val="18"/>
        </w:rPr>
        <w:t>Nota: il grafico</w:t>
      </w:r>
      <w:r>
        <w:rPr>
          <w:rFonts w:ascii="Tw Cen MT" w:hAnsi="Tw Cen MT"/>
          <w:sz w:val="18"/>
          <w:szCs w:val="18"/>
        </w:rPr>
        <w:t xml:space="preserve"> non</w:t>
      </w:r>
      <w:r w:rsidRPr="005A1B1C">
        <w:rPr>
          <w:rFonts w:ascii="Tw Cen MT" w:hAnsi="Tw Cen MT"/>
          <w:sz w:val="18"/>
          <w:szCs w:val="18"/>
        </w:rPr>
        <w:t xml:space="preserve"> comprende la variazione delle rimanenze avendo valore </w:t>
      </w:r>
      <w:r>
        <w:rPr>
          <w:rFonts w:ascii="Tw Cen MT" w:hAnsi="Tw Cen MT"/>
          <w:sz w:val="18"/>
          <w:szCs w:val="18"/>
        </w:rPr>
        <w:t>negativo,</w:t>
      </w:r>
      <w:r w:rsidRPr="005A1B1C">
        <w:rPr>
          <w:rFonts w:ascii="Tw Cen MT" w:hAnsi="Tw Cen MT"/>
          <w:sz w:val="18"/>
          <w:szCs w:val="18"/>
        </w:rPr>
        <w:t xml:space="preserve"> </w:t>
      </w:r>
      <w:r>
        <w:rPr>
          <w:rFonts w:ascii="Tw Cen MT" w:hAnsi="Tw Cen MT"/>
          <w:sz w:val="18"/>
          <w:szCs w:val="18"/>
        </w:rPr>
        <w:t>pur</w:t>
      </w:r>
      <w:r w:rsidRPr="005A1B1C">
        <w:rPr>
          <w:rFonts w:ascii="Tw Cen MT" w:hAnsi="Tw Cen MT"/>
          <w:sz w:val="18"/>
          <w:szCs w:val="18"/>
        </w:rPr>
        <w:t xml:space="preserve"> essendo inserita tra i proventi coerentemente allo schema previsto dal DPR 254/2005</w:t>
      </w:r>
    </w:p>
    <w:p w:rsidR="00754333" w:rsidRPr="00DB7976" w:rsidRDefault="00754333" w:rsidP="003B5C17">
      <w:pPr>
        <w:ind w:right="-6"/>
        <w:jc w:val="both"/>
        <w:rPr>
          <w:rFonts w:ascii="Tw Cen MT" w:hAnsi="Tw Cen MT"/>
        </w:rPr>
      </w:pPr>
    </w:p>
    <w:p w:rsidR="00754333" w:rsidRPr="00255DEB" w:rsidRDefault="00754333" w:rsidP="003B5C17">
      <w:pPr>
        <w:ind w:right="-6"/>
        <w:jc w:val="both"/>
        <w:rPr>
          <w:rFonts w:ascii="Tw Cen MT" w:hAnsi="Tw Cen MT"/>
          <w:color w:val="FF0000"/>
        </w:rPr>
      </w:pPr>
    </w:p>
    <w:p w:rsidR="00754333" w:rsidRPr="00255DEB" w:rsidRDefault="00AA2B49" w:rsidP="003B5C17">
      <w:pPr>
        <w:ind w:right="-6"/>
        <w:jc w:val="both"/>
        <w:rPr>
          <w:rFonts w:ascii="Tw Cen MT" w:hAnsi="Tw Cen MT"/>
          <w:b/>
          <w:color w:val="FF0000"/>
        </w:rPr>
      </w:pPr>
      <w:r w:rsidRPr="006A6AA1">
        <w:rPr>
          <w:rFonts w:ascii="Tw Cen MT" w:hAnsi="Tw Cen MT"/>
          <w:b/>
          <w:noProof/>
          <w:color w:val="FF0000"/>
        </w:rPr>
        <w:drawing>
          <wp:inline distT="0" distB="0" distL="0" distR="0">
            <wp:extent cx="6276975" cy="3381375"/>
            <wp:effectExtent l="0" t="0" r="0" b="0"/>
            <wp:docPr id="4" name="Oggett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4333" w:rsidRPr="005A1B1C" w:rsidRDefault="00754333" w:rsidP="003B5C17">
      <w:pPr>
        <w:ind w:right="-6"/>
        <w:jc w:val="center"/>
        <w:rPr>
          <w:rFonts w:ascii="Tw Cen MT" w:hAnsi="Tw Cen MT"/>
          <w:b/>
          <w:color w:val="FF0000"/>
          <w:sz w:val="12"/>
          <w:szCs w:val="12"/>
        </w:rPr>
      </w:pPr>
    </w:p>
    <w:p w:rsidR="00754333" w:rsidRDefault="00754333" w:rsidP="006729B9">
      <w:pPr>
        <w:ind w:right="-6" w:firstLine="709"/>
        <w:jc w:val="both"/>
        <w:rPr>
          <w:rFonts w:ascii="Tw Cen MT" w:hAnsi="Tw Cen MT"/>
          <w:b/>
          <w:i/>
          <w:color w:val="000000"/>
        </w:rPr>
      </w:pPr>
      <w:r w:rsidRPr="00E56C05">
        <w:rPr>
          <w:rFonts w:ascii="Tw Cen MT" w:hAnsi="Tw Cen MT"/>
          <w:b/>
          <w:i/>
          <w:color w:val="000000"/>
        </w:rPr>
        <w:t>Oneri</w:t>
      </w:r>
    </w:p>
    <w:p w:rsidR="00754333" w:rsidRPr="00FD2122" w:rsidRDefault="00754333" w:rsidP="003B5C17">
      <w:pPr>
        <w:ind w:right="-6"/>
        <w:jc w:val="both"/>
        <w:rPr>
          <w:rFonts w:ascii="Tw Cen MT" w:hAnsi="Tw Cen MT"/>
          <w:b/>
          <w:i/>
          <w:color w:val="000000"/>
        </w:rPr>
      </w:pPr>
    </w:p>
    <w:p w:rsidR="00754333" w:rsidRPr="006729B9" w:rsidRDefault="00754333" w:rsidP="003B5C17">
      <w:pPr>
        <w:ind w:right="-6"/>
        <w:jc w:val="both"/>
        <w:rPr>
          <w:rFonts w:ascii="Tw Cen MT" w:hAnsi="Tw Cen MT"/>
          <w:b/>
          <w:i/>
          <w:color w:val="000000"/>
        </w:rPr>
      </w:pPr>
      <w:r w:rsidRPr="006729B9">
        <w:rPr>
          <w:rFonts w:ascii="Tw Cen MT" w:hAnsi="Tw Cen MT"/>
          <w:b/>
          <w:i/>
          <w:color w:val="000000"/>
        </w:rPr>
        <w:t>Personale</w:t>
      </w:r>
    </w:p>
    <w:p w:rsidR="00754333" w:rsidRPr="00E56C05" w:rsidRDefault="00754333" w:rsidP="003B5C17">
      <w:pPr>
        <w:ind w:right="-6"/>
        <w:jc w:val="both"/>
        <w:rPr>
          <w:rFonts w:ascii="Tw Cen MT" w:hAnsi="Tw Cen MT"/>
          <w:i/>
          <w:color w:val="000000"/>
        </w:rPr>
      </w:pPr>
    </w:p>
    <w:p w:rsidR="00754333" w:rsidRPr="00255DEB" w:rsidRDefault="00754333" w:rsidP="003B5C17">
      <w:pPr>
        <w:ind w:right="-6"/>
        <w:jc w:val="center"/>
        <w:rPr>
          <w:rFonts w:ascii="Tw Cen MT" w:hAnsi="Tw Cen MT"/>
          <w:b/>
          <w:color w:val="FF0000"/>
        </w:rPr>
      </w:pPr>
      <w:r w:rsidRPr="00255DEB">
        <w:rPr>
          <w:rFonts w:ascii="Tw Cen MT" w:hAnsi="Tw Cen MT"/>
          <w:color w:val="FF0000"/>
        </w:rPr>
        <w:object w:dxaOrig="8438" w:dyaOrig="1763">
          <v:shape id="_x0000_i1029" type="#_x0000_t75" style="width:451.5pt;height:84pt" o:ole="">
            <v:imagedata r:id="rId12" o:title=""/>
          </v:shape>
          <o:OLEObject Type="Embed" ProgID="Excel.Sheet.8" ShapeID="_x0000_i1029" DrawAspect="Content" ObjectID="_1738413081" r:id="rId13"/>
        </w:object>
      </w:r>
    </w:p>
    <w:p w:rsidR="00754333" w:rsidRPr="006E6045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  <w:r w:rsidRPr="00255DEB">
        <w:rPr>
          <w:rFonts w:ascii="Tw Cen MT" w:hAnsi="Tw Cen MT"/>
          <w:b/>
          <w:color w:val="FF0000"/>
        </w:rPr>
        <w:tab/>
      </w:r>
    </w:p>
    <w:p w:rsidR="00754333" w:rsidRDefault="00754333" w:rsidP="003B5C17">
      <w:pPr>
        <w:ind w:right="-6"/>
        <w:jc w:val="both"/>
        <w:rPr>
          <w:rFonts w:ascii="Tw Cen MT" w:hAnsi="Tw Cen MT"/>
          <w:color w:val="FF0000"/>
        </w:rPr>
      </w:pPr>
    </w:p>
    <w:p w:rsidR="00754333" w:rsidRPr="006729B9" w:rsidRDefault="00754333" w:rsidP="003B5C17">
      <w:pPr>
        <w:ind w:right="-6"/>
        <w:jc w:val="both"/>
        <w:rPr>
          <w:rFonts w:ascii="Tw Cen MT" w:hAnsi="Tw Cen MT"/>
          <w:b/>
          <w:i/>
          <w:color w:val="000000"/>
        </w:rPr>
      </w:pPr>
      <w:r w:rsidRPr="006729B9">
        <w:rPr>
          <w:rFonts w:ascii="Tw Cen MT" w:hAnsi="Tw Cen MT"/>
          <w:b/>
          <w:i/>
          <w:color w:val="000000"/>
        </w:rPr>
        <w:t>Funzionamento</w:t>
      </w:r>
    </w:p>
    <w:p w:rsidR="00754333" w:rsidRPr="00255DEB" w:rsidRDefault="00754333" w:rsidP="003B5C17">
      <w:pPr>
        <w:ind w:right="-6"/>
        <w:jc w:val="both"/>
        <w:rPr>
          <w:rFonts w:ascii="Tw Cen MT" w:hAnsi="Tw Cen MT"/>
          <w:color w:val="FF0000"/>
        </w:rPr>
      </w:pPr>
    </w:p>
    <w:p w:rsidR="00754333" w:rsidRPr="00255DEB" w:rsidRDefault="00754333" w:rsidP="003B5C17">
      <w:pPr>
        <w:ind w:right="-6"/>
        <w:jc w:val="center"/>
        <w:rPr>
          <w:rFonts w:ascii="Tw Cen MT" w:hAnsi="Tw Cen MT"/>
          <w:b/>
          <w:color w:val="FF0000"/>
        </w:rPr>
      </w:pPr>
      <w:r w:rsidRPr="00255DEB">
        <w:rPr>
          <w:rFonts w:ascii="Tw Cen MT" w:hAnsi="Tw Cen MT"/>
          <w:color w:val="FF0000"/>
        </w:rPr>
        <w:object w:dxaOrig="8597" w:dyaOrig="2053">
          <v:shape id="_x0000_i1030" type="#_x0000_t75" style="width:459.75pt;height:99.75pt" o:ole="">
            <v:imagedata r:id="rId14" o:title=""/>
          </v:shape>
          <o:OLEObject Type="Embed" ProgID="Excel.Sheet.8" ShapeID="_x0000_i1030" DrawAspect="Content" ObjectID="_1738413082" r:id="rId15"/>
        </w:object>
      </w:r>
    </w:p>
    <w:p w:rsidR="00754333" w:rsidRPr="006E6045" w:rsidRDefault="00754333" w:rsidP="006E6045">
      <w:pPr>
        <w:pStyle w:val="Paragrafoelenco"/>
        <w:ind w:left="360" w:right="-6"/>
        <w:jc w:val="both"/>
        <w:rPr>
          <w:rFonts w:ascii="Tw Cen MT" w:hAnsi="Tw Cen MT"/>
        </w:rPr>
      </w:pPr>
      <w:r w:rsidRPr="002D321C">
        <w:t xml:space="preserve"> </w:t>
      </w:r>
    </w:p>
    <w:p w:rsidR="00754333" w:rsidRPr="00255DEB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</w:p>
    <w:p w:rsidR="00754333" w:rsidRPr="006729B9" w:rsidRDefault="00754333" w:rsidP="003B5C17">
      <w:pPr>
        <w:ind w:right="-6"/>
        <w:jc w:val="both"/>
        <w:rPr>
          <w:rFonts w:ascii="Tw Cen MT" w:hAnsi="Tw Cen MT"/>
          <w:b/>
          <w:i/>
        </w:rPr>
      </w:pPr>
      <w:r w:rsidRPr="006729B9">
        <w:rPr>
          <w:rFonts w:ascii="Tw Cen MT" w:hAnsi="Tw Cen MT"/>
          <w:b/>
          <w:i/>
        </w:rPr>
        <w:t>Interventi economici</w:t>
      </w:r>
    </w:p>
    <w:p w:rsidR="00754333" w:rsidRPr="00255DEB" w:rsidRDefault="00754333" w:rsidP="003B5C17">
      <w:pPr>
        <w:ind w:right="-6"/>
        <w:jc w:val="both"/>
        <w:rPr>
          <w:rFonts w:ascii="Tw Cen MT" w:hAnsi="Tw Cen MT"/>
          <w:i/>
          <w:color w:val="FF0000"/>
        </w:rPr>
      </w:pPr>
    </w:p>
    <w:p w:rsidR="00754333" w:rsidRPr="00255DEB" w:rsidRDefault="00AA2B49" w:rsidP="003B5C17">
      <w:pPr>
        <w:ind w:right="-6"/>
        <w:jc w:val="both"/>
        <w:rPr>
          <w:rFonts w:ascii="Tw Cen MT" w:hAnsi="Tw Cen MT"/>
          <w:b/>
          <w:color w:val="FF0000"/>
        </w:rPr>
      </w:pPr>
      <w:r>
        <w:rPr>
          <w:rFonts w:ascii="Tw Cen MT" w:hAnsi="Tw Cen MT"/>
          <w:noProof/>
          <w:color w:val="FF0000"/>
        </w:rPr>
        <w:drawing>
          <wp:inline distT="0" distB="0" distL="0" distR="0">
            <wp:extent cx="5619750" cy="37147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333" w:rsidRPr="00255DEB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</w:p>
    <w:p w:rsidR="00754333" w:rsidRPr="00255DEB" w:rsidRDefault="00754333" w:rsidP="003B5C17">
      <w:pPr>
        <w:ind w:right="-6"/>
        <w:jc w:val="both"/>
        <w:rPr>
          <w:rFonts w:ascii="Tw Cen MT" w:hAnsi="Tw Cen MT"/>
          <w:i/>
          <w:color w:val="FF0000"/>
        </w:rPr>
      </w:pPr>
    </w:p>
    <w:p w:rsidR="00754333" w:rsidRPr="006729B9" w:rsidRDefault="00754333" w:rsidP="003B5C17">
      <w:pPr>
        <w:ind w:right="-6"/>
        <w:jc w:val="both"/>
        <w:rPr>
          <w:rFonts w:ascii="Tw Cen MT" w:hAnsi="Tw Cen MT"/>
          <w:b/>
          <w:i/>
          <w:color w:val="000000"/>
        </w:rPr>
      </w:pPr>
      <w:r w:rsidRPr="006729B9">
        <w:rPr>
          <w:rFonts w:ascii="Tw Cen MT" w:hAnsi="Tw Cen MT"/>
          <w:b/>
          <w:i/>
          <w:color w:val="000000"/>
        </w:rPr>
        <w:t>Ammortamenti ed accantonamenti</w:t>
      </w:r>
    </w:p>
    <w:p w:rsidR="00754333" w:rsidRPr="00255DEB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</w:p>
    <w:p w:rsidR="00754333" w:rsidRPr="00255DEB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  <w:r w:rsidRPr="00255DEB">
        <w:rPr>
          <w:rFonts w:ascii="Tw Cen MT" w:hAnsi="Tw Cen MT"/>
          <w:color w:val="FF0000"/>
        </w:rPr>
        <w:object w:dxaOrig="8662" w:dyaOrig="2053">
          <v:shape id="_x0000_i1032" type="#_x0000_t75" style="width:463.5pt;height:97.5pt" o:ole="">
            <v:imagedata r:id="rId17" o:title=""/>
          </v:shape>
          <o:OLEObject Type="Embed" ProgID="Excel.Sheet.8" ShapeID="_x0000_i1032" DrawAspect="Content" ObjectID="_1738413083" r:id="rId18"/>
        </w:object>
      </w:r>
    </w:p>
    <w:p w:rsidR="00754333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</w:p>
    <w:p w:rsidR="00754333" w:rsidRPr="00746F34" w:rsidRDefault="00754333" w:rsidP="003B5C17">
      <w:pPr>
        <w:ind w:right="-6"/>
        <w:jc w:val="both"/>
        <w:rPr>
          <w:rFonts w:ascii="Tw Cen MT" w:hAnsi="Tw Cen MT"/>
        </w:rPr>
      </w:pPr>
      <w:r>
        <w:rPr>
          <w:rFonts w:ascii="Tw Cen MT" w:hAnsi="Tw Cen MT"/>
          <w:b/>
          <w:color w:val="FF0000"/>
        </w:rPr>
        <w:tab/>
      </w:r>
    </w:p>
    <w:p w:rsidR="00754333" w:rsidRPr="00255DEB" w:rsidRDefault="00AA2B49" w:rsidP="003B5C17">
      <w:pPr>
        <w:spacing w:after="120"/>
        <w:ind w:right="-6"/>
        <w:jc w:val="both"/>
        <w:rPr>
          <w:rFonts w:ascii="Tw Cen MT" w:hAnsi="Tw Cen MT"/>
          <w:b/>
          <w:color w:val="FF0000"/>
        </w:rPr>
      </w:pPr>
      <w:r w:rsidRPr="006A6AA1">
        <w:rPr>
          <w:rFonts w:ascii="Tw Cen MT" w:hAnsi="Tw Cen MT"/>
          <w:b/>
          <w:noProof/>
          <w:color w:val="FF0000"/>
        </w:rPr>
        <w:drawing>
          <wp:inline distT="0" distB="0" distL="0" distR="0">
            <wp:extent cx="4962525" cy="3695700"/>
            <wp:effectExtent l="0" t="0" r="0" b="0"/>
            <wp:docPr id="9" name="Oggetto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54333" w:rsidRDefault="00754333" w:rsidP="003B5C17">
      <w:pPr>
        <w:spacing w:after="120"/>
        <w:ind w:right="-6"/>
        <w:jc w:val="both"/>
        <w:rPr>
          <w:rFonts w:ascii="Tw Cen MT" w:hAnsi="Tw Cen MT"/>
        </w:rPr>
      </w:pPr>
      <w:r w:rsidRPr="00255DEB">
        <w:rPr>
          <w:rFonts w:ascii="Tw Cen MT" w:hAnsi="Tw Cen MT"/>
          <w:color w:val="FF0000"/>
        </w:rPr>
        <w:tab/>
      </w:r>
    </w:p>
    <w:p w:rsidR="00754333" w:rsidRPr="00255DEB" w:rsidRDefault="00754333" w:rsidP="003B5C17">
      <w:pPr>
        <w:spacing w:after="120"/>
        <w:ind w:right="-6"/>
        <w:jc w:val="both"/>
        <w:rPr>
          <w:rFonts w:ascii="Tw Cen MT" w:hAnsi="Tw Cen MT"/>
          <w:color w:val="FF0000"/>
        </w:rPr>
      </w:pPr>
      <w:r>
        <w:rPr>
          <w:rFonts w:ascii="Tw Cen MT" w:hAnsi="Tw Cen MT"/>
        </w:rPr>
        <w:tab/>
      </w:r>
      <w:r w:rsidRPr="00255DEB">
        <w:rPr>
          <w:rFonts w:ascii="Tw Cen MT" w:hAnsi="Tw Cen MT"/>
          <w:color w:val="FF0000"/>
        </w:rPr>
        <w:tab/>
      </w:r>
      <w:r w:rsidR="00AA2B49" w:rsidRPr="006A6AA1">
        <w:rPr>
          <w:rFonts w:ascii="Tw Cen MT" w:hAnsi="Tw Cen MT"/>
          <w:b/>
          <w:noProof/>
          <w:color w:val="FF0000"/>
        </w:rPr>
        <w:drawing>
          <wp:inline distT="0" distB="0" distL="0" distR="0">
            <wp:extent cx="6086475" cy="3552825"/>
            <wp:effectExtent l="0" t="0" r="0" b="0"/>
            <wp:docPr id="10" name="Oggetto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54333" w:rsidRDefault="00754333" w:rsidP="00B90A15">
      <w:pPr>
        <w:ind w:right="-6"/>
        <w:jc w:val="both"/>
        <w:rPr>
          <w:rFonts w:ascii="Tw Cen MT" w:hAnsi="Tw Cen MT"/>
          <w:sz w:val="18"/>
          <w:szCs w:val="18"/>
        </w:rPr>
      </w:pPr>
      <w:r w:rsidRPr="00E13E47">
        <w:rPr>
          <w:rFonts w:ascii="Tw Cen MT" w:hAnsi="Tw Cen MT"/>
          <w:sz w:val="18"/>
          <w:szCs w:val="18"/>
        </w:rPr>
        <w:t>Nota: il grafico comprende la variazione delle rimanenze avendo valore negativo pur essendo inserita tra i proventi coerentemente allo schema previsto dal DPR 254/2005</w:t>
      </w:r>
    </w:p>
    <w:p w:rsidR="00754333" w:rsidRDefault="00754333" w:rsidP="00B90A15">
      <w:pPr>
        <w:ind w:right="-6"/>
        <w:jc w:val="both"/>
        <w:rPr>
          <w:rFonts w:ascii="Tw Cen MT" w:hAnsi="Tw Cen MT"/>
          <w:sz w:val="18"/>
          <w:szCs w:val="18"/>
        </w:rPr>
      </w:pPr>
    </w:p>
    <w:p w:rsidR="00754333" w:rsidRPr="00E13E47" w:rsidRDefault="00754333" w:rsidP="00B90A15">
      <w:pPr>
        <w:ind w:right="-6"/>
        <w:jc w:val="both"/>
        <w:rPr>
          <w:rFonts w:ascii="Tw Cen MT" w:hAnsi="Tw Cen MT"/>
          <w:color w:val="FF0000"/>
          <w:sz w:val="18"/>
          <w:szCs w:val="18"/>
        </w:rPr>
      </w:pPr>
    </w:p>
    <w:p w:rsidR="00754333" w:rsidRPr="00255DEB" w:rsidRDefault="00AA2B49" w:rsidP="00E13E47">
      <w:pPr>
        <w:spacing w:after="120"/>
        <w:ind w:right="-6"/>
        <w:jc w:val="both"/>
        <w:rPr>
          <w:rFonts w:ascii="Tw Cen MT" w:hAnsi="Tw Cen MT"/>
          <w:color w:val="FF0000"/>
        </w:rPr>
      </w:pPr>
      <w:r w:rsidRPr="006A6AA1">
        <w:rPr>
          <w:rFonts w:ascii="Tw Cen MT" w:hAnsi="Tw Cen MT"/>
          <w:b/>
          <w:noProof/>
          <w:color w:val="FF0000"/>
        </w:rPr>
        <w:drawing>
          <wp:inline distT="0" distB="0" distL="0" distR="0">
            <wp:extent cx="6019800" cy="3752850"/>
            <wp:effectExtent l="0" t="0" r="0" b="0"/>
            <wp:docPr id="11" name="Oggetto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54333" w:rsidRPr="00E13E47" w:rsidRDefault="00754333" w:rsidP="00E13E47">
      <w:pPr>
        <w:ind w:right="-6"/>
        <w:jc w:val="both"/>
        <w:rPr>
          <w:rFonts w:ascii="Tw Cen MT" w:hAnsi="Tw Cen MT"/>
          <w:color w:val="FF0000"/>
          <w:sz w:val="18"/>
          <w:szCs w:val="18"/>
        </w:rPr>
      </w:pPr>
      <w:r w:rsidRPr="00E13E47">
        <w:rPr>
          <w:rFonts w:ascii="Tw Cen MT" w:hAnsi="Tw Cen MT"/>
          <w:sz w:val="18"/>
          <w:szCs w:val="18"/>
        </w:rPr>
        <w:t>Nota: il grafico comprende la variazione delle rimanenze avendo valore negativo pur essendo inserita tra i proventi coerentemente allo schema previsto dal DPR 254/2005</w:t>
      </w:r>
    </w:p>
    <w:p w:rsidR="00754333" w:rsidRPr="00255DEB" w:rsidRDefault="00754333" w:rsidP="003B5C17">
      <w:pPr>
        <w:spacing w:after="120"/>
        <w:ind w:right="-6"/>
        <w:jc w:val="center"/>
        <w:rPr>
          <w:rFonts w:ascii="Tw Cen MT" w:hAnsi="Tw Cen MT"/>
          <w:b/>
          <w:color w:val="FF0000"/>
        </w:rPr>
      </w:pPr>
    </w:p>
    <w:p w:rsidR="00754333" w:rsidRDefault="00754333" w:rsidP="00AA2D03">
      <w:pPr>
        <w:spacing w:after="120"/>
        <w:ind w:right="-6"/>
        <w:jc w:val="both"/>
        <w:rPr>
          <w:rFonts w:ascii="Tw Cen MT" w:hAnsi="Tw Cen MT"/>
          <w:b/>
          <w:color w:val="000000"/>
          <w:sz w:val="28"/>
          <w:szCs w:val="28"/>
        </w:rPr>
      </w:pPr>
      <w:r w:rsidRPr="0047535F">
        <w:rPr>
          <w:rFonts w:ascii="Tw Cen MT" w:hAnsi="Tw Cen MT"/>
        </w:rPr>
        <w:tab/>
      </w:r>
    </w:p>
    <w:p w:rsidR="00754333" w:rsidRPr="00AA2D03" w:rsidRDefault="00754333" w:rsidP="00AA2D03">
      <w:pPr>
        <w:spacing w:after="120"/>
        <w:ind w:right="-6"/>
        <w:jc w:val="both"/>
        <w:rPr>
          <w:rFonts w:ascii="Tw Cen MT" w:hAnsi="Tw Cen MT"/>
          <w:b/>
          <w:color w:val="000000"/>
          <w:sz w:val="28"/>
          <w:szCs w:val="28"/>
        </w:rPr>
      </w:pPr>
      <w:r w:rsidRPr="00AA2D03">
        <w:rPr>
          <w:rFonts w:ascii="Tw Cen MT" w:hAnsi="Tw Cen MT"/>
          <w:b/>
          <w:color w:val="000000"/>
          <w:sz w:val="28"/>
          <w:szCs w:val="28"/>
        </w:rPr>
        <w:t>Gestione finanziaria</w:t>
      </w:r>
    </w:p>
    <w:p w:rsidR="00754333" w:rsidRPr="00255DEB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</w:p>
    <w:p w:rsidR="00754333" w:rsidRPr="006E6045" w:rsidRDefault="00754333" w:rsidP="006E6045">
      <w:pPr>
        <w:ind w:right="-6"/>
        <w:jc w:val="both"/>
        <w:rPr>
          <w:rFonts w:ascii="Tw Cen MT" w:hAnsi="Tw Cen MT"/>
          <w:b/>
          <w:color w:val="FF0000"/>
        </w:rPr>
      </w:pPr>
      <w:r w:rsidRPr="00255DEB">
        <w:rPr>
          <w:rFonts w:ascii="Tw Cen MT" w:hAnsi="Tw Cen MT"/>
          <w:color w:val="FF0000"/>
        </w:rPr>
        <w:object w:dxaOrig="8452" w:dyaOrig="1181">
          <v:shape id="_x0000_i1036" type="#_x0000_t75" style="width:452.25pt;height:57pt" o:ole="">
            <v:imagedata r:id="rId22" o:title=""/>
          </v:shape>
          <o:OLEObject Type="Embed" ProgID="Excel.Sheet.8" ShapeID="_x0000_i1036" DrawAspect="Content" ObjectID="_1738413084" r:id="rId23"/>
        </w:object>
      </w:r>
    </w:p>
    <w:p w:rsidR="00754333" w:rsidRDefault="00754333" w:rsidP="003B5C17">
      <w:pPr>
        <w:spacing w:after="120"/>
        <w:ind w:right="-6"/>
        <w:jc w:val="both"/>
        <w:rPr>
          <w:rFonts w:ascii="Tw Cen MT" w:hAnsi="Tw Cen MT"/>
          <w:color w:val="FF0000"/>
        </w:rPr>
      </w:pPr>
    </w:p>
    <w:p w:rsidR="00754333" w:rsidRPr="00E92203" w:rsidRDefault="00754333" w:rsidP="00E92203">
      <w:pPr>
        <w:spacing w:after="120"/>
        <w:ind w:right="-6"/>
        <w:jc w:val="both"/>
        <w:rPr>
          <w:rFonts w:ascii="Tw Cen MT" w:hAnsi="Tw Cen MT"/>
          <w:b/>
          <w:color w:val="000000"/>
          <w:sz w:val="28"/>
          <w:szCs w:val="28"/>
        </w:rPr>
      </w:pPr>
      <w:r w:rsidRPr="00E92203">
        <w:rPr>
          <w:rFonts w:ascii="Tw Cen MT" w:hAnsi="Tw Cen MT"/>
          <w:b/>
          <w:color w:val="000000"/>
          <w:sz w:val="28"/>
          <w:szCs w:val="28"/>
        </w:rPr>
        <w:t>Gestione straordinaria</w:t>
      </w:r>
    </w:p>
    <w:p w:rsidR="00754333" w:rsidRPr="003C2368" w:rsidRDefault="00754333" w:rsidP="003B5C17">
      <w:pPr>
        <w:ind w:right="-6" w:firstLine="708"/>
        <w:jc w:val="both"/>
        <w:rPr>
          <w:rFonts w:ascii="Tw Cen MT" w:hAnsi="Tw Cen MT"/>
          <w:color w:val="000000"/>
        </w:rPr>
      </w:pPr>
    </w:p>
    <w:p w:rsidR="00754333" w:rsidRPr="003C2368" w:rsidRDefault="00754333" w:rsidP="003B5C17">
      <w:pPr>
        <w:ind w:right="-6" w:firstLine="708"/>
        <w:jc w:val="both"/>
        <w:rPr>
          <w:rFonts w:ascii="Tw Cen MT" w:hAnsi="Tw Cen MT"/>
          <w:color w:val="000000"/>
        </w:rPr>
      </w:pPr>
    </w:p>
    <w:p w:rsidR="00754333" w:rsidRPr="00255DEB" w:rsidRDefault="00754333" w:rsidP="003B5C17">
      <w:pPr>
        <w:ind w:right="-6"/>
        <w:jc w:val="both"/>
        <w:rPr>
          <w:rFonts w:ascii="Tw Cen MT" w:hAnsi="Tw Cen MT"/>
          <w:color w:val="FF0000"/>
        </w:rPr>
      </w:pPr>
      <w:r w:rsidRPr="00255DEB">
        <w:rPr>
          <w:rFonts w:ascii="Tw Cen MT" w:hAnsi="Tw Cen MT"/>
          <w:color w:val="FF0000"/>
        </w:rPr>
        <w:object w:dxaOrig="8176" w:dyaOrig="1763">
          <v:shape id="_x0000_i1037" type="#_x0000_t75" style="width:445.5pt;height:84pt" o:ole="">
            <v:imagedata r:id="rId24" o:title=""/>
          </v:shape>
          <o:OLEObject Type="Embed" ProgID="Excel.Sheet.8" ShapeID="_x0000_i1037" DrawAspect="Content" ObjectID="_1738413085" r:id="rId25"/>
        </w:object>
      </w:r>
    </w:p>
    <w:p w:rsidR="00754333" w:rsidRPr="00255DEB" w:rsidRDefault="00754333" w:rsidP="003B5C17">
      <w:pPr>
        <w:ind w:right="-6" w:firstLine="708"/>
        <w:jc w:val="both"/>
        <w:rPr>
          <w:rFonts w:ascii="Tw Cen MT" w:hAnsi="Tw Cen MT"/>
          <w:b/>
          <w:color w:val="FF0000"/>
        </w:rPr>
      </w:pPr>
    </w:p>
    <w:p w:rsidR="00754333" w:rsidRDefault="00754333" w:rsidP="003B5C17">
      <w:pPr>
        <w:ind w:right="-6"/>
        <w:jc w:val="both"/>
        <w:rPr>
          <w:rFonts w:ascii="Tw Cen MT" w:hAnsi="Tw Cen MT"/>
        </w:rPr>
      </w:pPr>
    </w:p>
    <w:p w:rsidR="00754333" w:rsidRPr="00255DEB" w:rsidRDefault="00754333" w:rsidP="003B5C17">
      <w:pPr>
        <w:ind w:right="-6"/>
        <w:jc w:val="both"/>
        <w:rPr>
          <w:rFonts w:ascii="Tw Cen MT" w:hAnsi="Tw Cen MT"/>
          <w:b/>
          <w:color w:val="FF0000"/>
        </w:rPr>
      </w:pPr>
      <w:r>
        <w:rPr>
          <w:rFonts w:ascii="Tw Cen MT" w:hAnsi="Tw Cen MT"/>
        </w:rPr>
        <w:tab/>
      </w:r>
    </w:p>
    <w:p w:rsidR="00754333" w:rsidRDefault="00754333" w:rsidP="003B5C17">
      <w:pPr>
        <w:spacing w:after="120"/>
        <w:ind w:right="-6"/>
        <w:jc w:val="both"/>
        <w:rPr>
          <w:rFonts w:ascii="Tw Cen MT" w:hAnsi="Tw Cen MT"/>
          <w:color w:val="FF0000"/>
        </w:rPr>
      </w:pPr>
    </w:p>
    <w:sectPr w:rsidR="00754333" w:rsidSect="006E6045">
      <w:footerReference w:type="default" r:id="rId26"/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333" w:rsidRDefault="00754333">
      <w:r>
        <w:separator/>
      </w:r>
    </w:p>
  </w:endnote>
  <w:endnote w:type="continuationSeparator" w:id="0">
    <w:p w:rsidR="00754333" w:rsidRDefault="0075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Rubik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333" w:rsidRDefault="00AA2B49" w:rsidP="008B2B2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54333" w:rsidRDefault="00754333">
    <w:pPr>
      <w:rPr>
        <w:rFonts w:ascii="Lucida Sans Unicode" w:hAnsi="Lucida Sans Unicode" w:cs="Lucida Sans Unicode"/>
      </w:rPr>
    </w:pPr>
  </w:p>
  <w:p w:rsidR="00754333" w:rsidRPr="0041051F" w:rsidRDefault="00754333">
    <w:pPr>
      <w:pStyle w:val="Pidipagina"/>
      <w:jc w:val="right"/>
      <w:rPr>
        <w:rFonts w:ascii="Tw Cen MT" w:hAnsi="Tw Cen MT" w:cs="Tw Cen MT"/>
        <w:color w:val="9933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333" w:rsidRDefault="00754333">
      <w:r>
        <w:separator/>
      </w:r>
    </w:p>
  </w:footnote>
  <w:footnote w:type="continuationSeparator" w:id="0">
    <w:p w:rsidR="00754333" w:rsidRDefault="0075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68E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</w:abstractNum>
  <w:abstractNum w:abstractNumId="2" w15:restartNumberingAfterBreak="0">
    <w:nsid w:val="057502C1"/>
    <w:multiLevelType w:val="hybridMultilevel"/>
    <w:tmpl w:val="A54259D4"/>
    <w:lvl w:ilvl="0" w:tplc="A6F0B4FC">
      <w:start w:val="1"/>
      <w:numFmt w:val="lowerLetter"/>
      <w:lvlText w:val="(%1)"/>
      <w:lvlJc w:val="left"/>
      <w:pPr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70E4ED3"/>
    <w:multiLevelType w:val="hybridMultilevel"/>
    <w:tmpl w:val="8AB01FC8"/>
    <w:name w:val="WW8Num522"/>
    <w:lvl w:ilvl="0" w:tplc="F2B47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E5CC0"/>
    <w:multiLevelType w:val="hybridMultilevel"/>
    <w:tmpl w:val="FDBCCD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60D75"/>
    <w:multiLevelType w:val="hybridMultilevel"/>
    <w:tmpl w:val="F0825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F16E9"/>
    <w:multiLevelType w:val="hybridMultilevel"/>
    <w:tmpl w:val="2D5813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2256CE"/>
    <w:multiLevelType w:val="hybridMultilevel"/>
    <w:tmpl w:val="E7182A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91E50"/>
    <w:multiLevelType w:val="hybridMultilevel"/>
    <w:tmpl w:val="90C2D0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AFD46F8"/>
    <w:multiLevelType w:val="hybridMultilevel"/>
    <w:tmpl w:val="A8DA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96832"/>
    <w:multiLevelType w:val="hybridMultilevel"/>
    <w:tmpl w:val="0DE676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86031D"/>
    <w:multiLevelType w:val="hybridMultilevel"/>
    <w:tmpl w:val="321229B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6768DD"/>
    <w:multiLevelType w:val="hybridMultilevel"/>
    <w:tmpl w:val="57ACD4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DE4E48"/>
    <w:multiLevelType w:val="hybridMultilevel"/>
    <w:tmpl w:val="E81629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D323DB"/>
    <w:multiLevelType w:val="hybridMultilevel"/>
    <w:tmpl w:val="62943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6F0473"/>
    <w:multiLevelType w:val="hybridMultilevel"/>
    <w:tmpl w:val="D4EE69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C6067"/>
    <w:multiLevelType w:val="hybridMultilevel"/>
    <w:tmpl w:val="458C980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7E36BB"/>
    <w:multiLevelType w:val="hybridMultilevel"/>
    <w:tmpl w:val="D2127622"/>
    <w:lvl w:ilvl="0" w:tplc="1B8C345A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MS Mincho" w:hAnsi="Tw Cen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99011E"/>
    <w:multiLevelType w:val="hybridMultilevel"/>
    <w:tmpl w:val="A3EC19D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1"/>
  </w:num>
  <w:num w:numId="21">
    <w:abstractNumId w:val="17"/>
  </w:num>
  <w:num w:numId="22">
    <w:abstractNumId w:val="10"/>
  </w:num>
  <w:num w:numId="23">
    <w:abstractNumId w:val="12"/>
  </w:num>
  <w:num w:numId="24">
    <w:abstractNumId w:val="2"/>
  </w:num>
  <w:num w:numId="25">
    <w:abstractNumId w:val="7"/>
  </w:num>
  <w:num w:numId="26">
    <w:abstractNumId w:val="4"/>
  </w:num>
  <w:num w:numId="27">
    <w:abstractNumId w:val="9"/>
  </w:num>
  <w:num w:numId="28">
    <w:abstractNumId w:val="5"/>
  </w:num>
  <w:num w:numId="29">
    <w:abstractNumId w:val="15"/>
  </w:num>
  <w:num w:numId="30">
    <w:abstractNumId w:val="6"/>
  </w:num>
  <w:num w:numId="31">
    <w:abstractNumId w:val="13"/>
  </w:num>
  <w:num w:numId="32">
    <w:abstractNumId w:val="8"/>
  </w:num>
  <w:num w:numId="33">
    <w:abstractNumId w:val="14"/>
  </w:num>
  <w:num w:numId="34">
    <w:abstractNumId w:val="16"/>
  </w:num>
  <w:num w:numId="3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F8"/>
    <w:rsid w:val="00000CA9"/>
    <w:rsid w:val="0000156B"/>
    <w:rsid w:val="00001B5E"/>
    <w:rsid w:val="0000374F"/>
    <w:rsid w:val="00003D91"/>
    <w:rsid w:val="00004ECC"/>
    <w:rsid w:val="000054FE"/>
    <w:rsid w:val="00005BDC"/>
    <w:rsid w:val="0000678C"/>
    <w:rsid w:val="00006AC6"/>
    <w:rsid w:val="0000729D"/>
    <w:rsid w:val="00007DC9"/>
    <w:rsid w:val="00010202"/>
    <w:rsid w:val="00010BAC"/>
    <w:rsid w:val="0001117C"/>
    <w:rsid w:val="00011790"/>
    <w:rsid w:val="0001200C"/>
    <w:rsid w:val="000142F9"/>
    <w:rsid w:val="0001439B"/>
    <w:rsid w:val="00015C16"/>
    <w:rsid w:val="00015D5C"/>
    <w:rsid w:val="000168CC"/>
    <w:rsid w:val="00016FF4"/>
    <w:rsid w:val="00017408"/>
    <w:rsid w:val="00017C1B"/>
    <w:rsid w:val="0002214F"/>
    <w:rsid w:val="00022523"/>
    <w:rsid w:val="00022700"/>
    <w:rsid w:val="00022783"/>
    <w:rsid w:val="0002355A"/>
    <w:rsid w:val="00023734"/>
    <w:rsid w:val="00024248"/>
    <w:rsid w:val="00024930"/>
    <w:rsid w:val="0002589E"/>
    <w:rsid w:val="00025F0E"/>
    <w:rsid w:val="000261CA"/>
    <w:rsid w:val="00026F2A"/>
    <w:rsid w:val="00026F73"/>
    <w:rsid w:val="000275F2"/>
    <w:rsid w:val="00027DB0"/>
    <w:rsid w:val="00030ADA"/>
    <w:rsid w:val="00031636"/>
    <w:rsid w:val="00031E3E"/>
    <w:rsid w:val="00033083"/>
    <w:rsid w:val="00035719"/>
    <w:rsid w:val="00036AE3"/>
    <w:rsid w:val="0003771B"/>
    <w:rsid w:val="0004030B"/>
    <w:rsid w:val="00040C9D"/>
    <w:rsid w:val="00040EAA"/>
    <w:rsid w:val="00041107"/>
    <w:rsid w:val="00041234"/>
    <w:rsid w:val="000418C2"/>
    <w:rsid w:val="00042C19"/>
    <w:rsid w:val="00043729"/>
    <w:rsid w:val="00043A91"/>
    <w:rsid w:val="00044C9E"/>
    <w:rsid w:val="00044D91"/>
    <w:rsid w:val="00045770"/>
    <w:rsid w:val="00045F07"/>
    <w:rsid w:val="00046336"/>
    <w:rsid w:val="000464C2"/>
    <w:rsid w:val="00046573"/>
    <w:rsid w:val="0004662B"/>
    <w:rsid w:val="00046B37"/>
    <w:rsid w:val="0004740D"/>
    <w:rsid w:val="0004775F"/>
    <w:rsid w:val="00050638"/>
    <w:rsid w:val="00050806"/>
    <w:rsid w:val="00051303"/>
    <w:rsid w:val="00051BC8"/>
    <w:rsid w:val="00051C8C"/>
    <w:rsid w:val="00052ABA"/>
    <w:rsid w:val="000533BA"/>
    <w:rsid w:val="00055354"/>
    <w:rsid w:val="0005538E"/>
    <w:rsid w:val="000556B8"/>
    <w:rsid w:val="0005673F"/>
    <w:rsid w:val="000567B9"/>
    <w:rsid w:val="000568C9"/>
    <w:rsid w:val="000571C8"/>
    <w:rsid w:val="00060071"/>
    <w:rsid w:val="00061C43"/>
    <w:rsid w:val="00061EB7"/>
    <w:rsid w:val="0006310F"/>
    <w:rsid w:val="00063307"/>
    <w:rsid w:val="0006337C"/>
    <w:rsid w:val="00063564"/>
    <w:rsid w:val="00065296"/>
    <w:rsid w:val="000669D0"/>
    <w:rsid w:val="0007012F"/>
    <w:rsid w:val="0007072E"/>
    <w:rsid w:val="00072662"/>
    <w:rsid w:val="0007283A"/>
    <w:rsid w:val="00074174"/>
    <w:rsid w:val="0007494C"/>
    <w:rsid w:val="0007582E"/>
    <w:rsid w:val="00076539"/>
    <w:rsid w:val="00076DFD"/>
    <w:rsid w:val="00077504"/>
    <w:rsid w:val="000779B2"/>
    <w:rsid w:val="00085BDF"/>
    <w:rsid w:val="0008668C"/>
    <w:rsid w:val="0008716A"/>
    <w:rsid w:val="00087177"/>
    <w:rsid w:val="000874E6"/>
    <w:rsid w:val="00090289"/>
    <w:rsid w:val="00090641"/>
    <w:rsid w:val="00091097"/>
    <w:rsid w:val="00092B7B"/>
    <w:rsid w:val="00093AEA"/>
    <w:rsid w:val="0009410E"/>
    <w:rsid w:val="00094D08"/>
    <w:rsid w:val="00094F28"/>
    <w:rsid w:val="00094FBB"/>
    <w:rsid w:val="000959B4"/>
    <w:rsid w:val="00095F74"/>
    <w:rsid w:val="00097421"/>
    <w:rsid w:val="000A14EA"/>
    <w:rsid w:val="000A18FB"/>
    <w:rsid w:val="000A3155"/>
    <w:rsid w:val="000A325F"/>
    <w:rsid w:val="000A351E"/>
    <w:rsid w:val="000A49D4"/>
    <w:rsid w:val="000A5650"/>
    <w:rsid w:val="000A5766"/>
    <w:rsid w:val="000A5B20"/>
    <w:rsid w:val="000A61BD"/>
    <w:rsid w:val="000B0EE1"/>
    <w:rsid w:val="000B1E06"/>
    <w:rsid w:val="000B2549"/>
    <w:rsid w:val="000B261C"/>
    <w:rsid w:val="000B2633"/>
    <w:rsid w:val="000B39A7"/>
    <w:rsid w:val="000B4A6F"/>
    <w:rsid w:val="000B4B8C"/>
    <w:rsid w:val="000B51CD"/>
    <w:rsid w:val="000B633F"/>
    <w:rsid w:val="000B667D"/>
    <w:rsid w:val="000B6B66"/>
    <w:rsid w:val="000B6F69"/>
    <w:rsid w:val="000B7424"/>
    <w:rsid w:val="000B78EA"/>
    <w:rsid w:val="000B79DB"/>
    <w:rsid w:val="000C08B1"/>
    <w:rsid w:val="000C119A"/>
    <w:rsid w:val="000C2517"/>
    <w:rsid w:val="000C252C"/>
    <w:rsid w:val="000C2687"/>
    <w:rsid w:val="000C3903"/>
    <w:rsid w:val="000C3D36"/>
    <w:rsid w:val="000C52F0"/>
    <w:rsid w:val="000C542C"/>
    <w:rsid w:val="000C5B04"/>
    <w:rsid w:val="000C6B2E"/>
    <w:rsid w:val="000C6DF9"/>
    <w:rsid w:val="000C74E7"/>
    <w:rsid w:val="000C796E"/>
    <w:rsid w:val="000C7F00"/>
    <w:rsid w:val="000D0432"/>
    <w:rsid w:val="000D090F"/>
    <w:rsid w:val="000D0C55"/>
    <w:rsid w:val="000D17B3"/>
    <w:rsid w:val="000D2523"/>
    <w:rsid w:val="000D302C"/>
    <w:rsid w:val="000D3E12"/>
    <w:rsid w:val="000D462C"/>
    <w:rsid w:val="000D54D3"/>
    <w:rsid w:val="000D632E"/>
    <w:rsid w:val="000D6D6D"/>
    <w:rsid w:val="000D7EEC"/>
    <w:rsid w:val="000E09C6"/>
    <w:rsid w:val="000E0ED9"/>
    <w:rsid w:val="000E0FB5"/>
    <w:rsid w:val="000E173D"/>
    <w:rsid w:val="000E195E"/>
    <w:rsid w:val="000E259D"/>
    <w:rsid w:val="000E2FCD"/>
    <w:rsid w:val="000E3309"/>
    <w:rsid w:val="000E4A8D"/>
    <w:rsid w:val="000E51A5"/>
    <w:rsid w:val="000E76E3"/>
    <w:rsid w:val="000E7815"/>
    <w:rsid w:val="000F0101"/>
    <w:rsid w:val="000F0F19"/>
    <w:rsid w:val="000F1034"/>
    <w:rsid w:val="000F1A2D"/>
    <w:rsid w:val="000F2F68"/>
    <w:rsid w:val="000F6996"/>
    <w:rsid w:val="000F7564"/>
    <w:rsid w:val="000F7B6F"/>
    <w:rsid w:val="0010000E"/>
    <w:rsid w:val="00100F72"/>
    <w:rsid w:val="00101404"/>
    <w:rsid w:val="001025B4"/>
    <w:rsid w:val="00102B93"/>
    <w:rsid w:val="00102EA9"/>
    <w:rsid w:val="00103C14"/>
    <w:rsid w:val="00104228"/>
    <w:rsid w:val="00105C31"/>
    <w:rsid w:val="001107CB"/>
    <w:rsid w:val="00110E96"/>
    <w:rsid w:val="00111D16"/>
    <w:rsid w:val="001136A6"/>
    <w:rsid w:val="00113860"/>
    <w:rsid w:val="00115C70"/>
    <w:rsid w:val="00117731"/>
    <w:rsid w:val="00121119"/>
    <w:rsid w:val="00121B77"/>
    <w:rsid w:val="00122934"/>
    <w:rsid w:val="00122B7C"/>
    <w:rsid w:val="001238AE"/>
    <w:rsid w:val="0012494A"/>
    <w:rsid w:val="0012754A"/>
    <w:rsid w:val="001278BA"/>
    <w:rsid w:val="00130534"/>
    <w:rsid w:val="0013103B"/>
    <w:rsid w:val="001319BB"/>
    <w:rsid w:val="00131CEA"/>
    <w:rsid w:val="00132B0A"/>
    <w:rsid w:val="00133319"/>
    <w:rsid w:val="00134A77"/>
    <w:rsid w:val="001363DD"/>
    <w:rsid w:val="001367BB"/>
    <w:rsid w:val="001373D3"/>
    <w:rsid w:val="00137779"/>
    <w:rsid w:val="00137892"/>
    <w:rsid w:val="001403DF"/>
    <w:rsid w:val="00140FD3"/>
    <w:rsid w:val="00141B43"/>
    <w:rsid w:val="001424AF"/>
    <w:rsid w:val="00142F5C"/>
    <w:rsid w:val="00142F65"/>
    <w:rsid w:val="00142FB7"/>
    <w:rsid w:val="00144686"/>
    <w:rsid w:val="00145D6B"/>
    <w:rsid w:val="00145D7A"/>
    <w:rsid w:val="001463C8"/>
    <w:rsid w:val="001469A5"/>
    <w:rsid w:val="00146FEF"/>
    <w:rsid w:val="00147898"/>
    <w:rsid w:val="00150434"/>
    <w:rsid w:val="001513FF"/>
    <w:rsid w:val="00151454"/>
    <w:rsid w:val="0015367D"/>
    <w:rsid w:val="00153839"/>
    <w:rsid w:val="00153F7D"/>
    <w:rsid w:val="00155017"/>
    <w:rsid w:val="00156A0F"/>
    <w:rsid w:val="00156B8C"/>
    <w:rsid w:val="00157123"/>
    <w:rsid w:val="0015717F"/>
    <w:rsid w:val="00157508"/>
    <w:rsid w:val="00157B13"/>
    <w:rsid w:val="001606A1"/>
    <w:rsid w:val="00160782"/>
    <w:rsid w:val="001616AA"/>
    <w:rsid w:val="001639F6"/>
    <w:rsid w:val="001642CE"/>
    <w:rsid w:val="00166B57"/>
    <w:rsid w:val="00166D2A"/>
    <w:rsid w:val="00166F22"/>
    <w:rsid w:val="00167972"/>
    <w:rsid w:val="00173443"/>
    <w:rsid w:val="00173C8E"/>
    <w:rsid w:val="00176075"/>
    <w:rsid w:val="00176548"/>
    <w:rsid w:val="00176A6B"/>
    <w:rsid w:val="00180358"/>
    <w:rsid w:val="001809E2"/>
    <w:rsid w:val="00181887"/>
    <w:rsid w:val="00182594"/>
    <w:rsid w:val="00183ACB"/>
    <w:rsid w:val="00183B97"/>
    <w:rsid w:val="001847E3"/>
    <w:rsid w:val="00185827"/>
    <w:rsid w:val="00185FE9"/>
    <w:rsid w:val="00187171"/>
    <w:rsid w:val="001871BE"/>
    <w:rsid w:val="00187C25"/>
    <w:rsid w:val="0019022D"/>
    <w:rsid w:val="00190632"/>
    <w:rsid w:val="0019163D"/>
    <w:rsid w:val="001918D7"/>
    <w:rsid w:val="00192E62"/>
    <w:rsid w:val="0019323B"/>
    <w:rsid w:val="00193A5E"/>
    <w:rsid w:val="001940DA"/>
    <w:rsid w:val="00194941"/>
    <w:rsid w:val="00195E0A"/>
    <w:rsid w:val="0019663F"/>
    <w:rsid w:val="00196D4E"/>
    <w:rsid w:val="00197053"/>
    <w:rsid w:val="0019740D"/>
    <w:rsid w:val="00197AA0"/>
    <w:rsid w:val="001A09E1"/>
    <w:rsid w:val="001A0A0E"/>
    <w:rsid w:val="001A0A75"/>
    <w:rsid w:val="001A0C93"/>
    <w:rsid w:val="001A4D89"/>
    <w:rsid w:val="001A5394"/>
    <w:rsid w:val="001A5C7E"/>
    <w:rsid w:val="001A602B"/>
    <w:rsid w:val="001A6767"/>
    <w:rsid w:val="001A7D80"/>
    <w:rsid w:val="001B112D"/>
    <w:rsid w:val="001B1249"/>
    <w:rsid w:val="001B12F8"/>
    <w:rsid w:val="001B3A27"/>
    <w:rsid w:val="001B46AF"/>
    <w:rsid w:val="001B52B6"/>
    <w:rsid w:val="001B53C7"/>
    <w:rsid w:val="001B6AC6"/>
    <w:rsid w:val="001B730A"/>
    <w:rsid w:val="001B7661"/>
    <w:rsid w:val="001B7DBF"/>
    <w:rsid w:val="001C11F4"/>
    <w:rsid w:val="001C1359"/>
    <w:rsid w:val="001C24BC"/>
    <w:rsid w:val="001C39F5"/>
    <w:rsid w:val="001C40B5"/>
    <w:rsid w:val="001C4A0E"/>
    <w:rsid w:val="001C538D"/>
    <w:rsid w:val="001C5CF8"/>
    <w:rsid w:val="001C64DD"/>
    <w:rsid w:val="001C67FC"/>
    <w:rsid w:val="001C6DAA"/>
    <w:rsid w:val="001C6E9F"/>
    <w:rsid w:val="001C7850"/>
    <w:rsid w:val="001C7D6C"/>
    <w:rsid w:val="001C7E72"/>
    <w:rsid w:val="001C7E8F"/>
    <w:rsid w:val="001D054E"/>
    <w:rsid w:val="001D179C"/>
    <w:rsid w:val="001D2001"/>
    <w:rsid w:val="001D323A"/>
    <w:rsid w:val="001D4E1E"/>
    <w:rsid w:val="001D4E9D"/>
    <w:rsid w:val="001D53F9"/>
    <w:rsid w:val="001D59F1"/>
    <w:rsid w:val="001D63E2"/>
    <w:rsid w:val="001D6BBC"/>
    <w:rsid w:val="001D739C"/>
    <w:rsid w:val="001D76C5"/>
    <w:rsid w:val="001E055B"/>
    <w:rsid w:val="001E116B"/>
    <w:rsid w:val="001E1B98"/>
    <w:rsid w:val="001E333D"/>
    <w:rsid w:val="001E3BAB"/>
    <w:rsid w:val="001E4073"/>
    <w:rsid w:val="001E4E08"/>
    <w:rsid w:val="001E5287"/>
    <w:rsid w:val="001E6170"/>
    <w:rsid w:val="001E6A17"/>
    <w:rsid w:val="001E7E6F"/>
    <w:rsid w:val="001F11F5"/>
    <w:rsid w:val="001F1E7E"/>
    <w:rsid w:val="001F22ED"/>
    <w:rsid w:val="001F2C2C"/>
    <w:rsid w:val="001F3331"/>
    <w:rsid w:val="001F374F"/>
    <w:rsid w:val="001F42D4"/>
    <w:rsid w:val="001F4918"/>
    <w:rsid w:val="001F4D56"/>
    <w:rsid w:val="001F63EE"/>
    <w:rsid w:val="001F726D"/>
    <w:rsid w:val="00200CC1"/>
    <w:rsid w:val="0020178E"/>
    <w:rsid w:val="00201F47"/>
    <w:rsid w:val="00202836"/>
    <w:rsid w:val="00203699"/>
    <w:rsid w:val="00203D6C"/>
    <w:rsid w:val="0020495A"/>
    <w:rsid w:val="00204D6A"/>
    <w:rsid w:val="00205494"/>
    <w:rsid w:val="0020591D"/>
    <w:rsid w:val="00205B2E"/>
    <w:rsid w:val="00206032"/>
    <w:rsid w:val="00207B6C"/>
    <w:rsid w:val="00207D8B"/>
    <w:rsid w:val="0021013F"/>
    <w:rsid w:val="00210DFC"/>
    <w:rsid w:val="00211C3E"/>
    <w:rsid w:val="00212179"/>
    <w:rsid w:val="002127BE"/>
    <w:rsid w:val="00212C5A"/>
    <w:rsid w:val="002140A6"/>
    <w:rsid w:val="002149D3"/>
    <w:rsid w:val="00215246"/>
    <w:rsid w:val="0021741B"/>
    <w:rsid w:val="002175E7"/>
    <w:rsid w:val="0021763C"/>
    <w:rsid w:val="002177B8"/>
    <w:rsid w:val="002177C6"/>
    <w:rsid w:val="00220298"/>
    <w:rsid w:val="00222683"/>
    <w:rsid w:val="00222CBB"/>
    <w:rsid w:val="002266A2"/>
    <w:rsid w:val="00226C49"/>
    <w:rsid w:val="00227A50"/>
    <w:rsid w:val="00227D79"/>
    <w:rsid w:val="0023188D"/>
    <w:rsid w:val="002347F6"/>
    <w:rsid w:val="00234F91"/>
    <w:rsid w:val="00235421"/>
    <w:rsid w:val="0024187D"/>
    <w:rsid w:val="002422A2"/>
    <w:rsid w:val="00242AD5"/>
    <w:rsid w:val="00242DDA"/>
    <w:rsid w:val="00243F9C"/>
    <w:rsid w:val="00244FF6"/>
    <w:rsid w:val="002450B5"/>
    <w:rsid w:val="0024599A"/>
    <w:rsid w:val="00246E30"/>
    <w:rsid w:val="002478E7"/>
    <w:rsid w:val="00250744"/>
    <w:rsid w:val="00250CE3"/>
    <w:rsid w:val="002525BB"/>
    <w:rsid w:val="00253533"/>
    <w:rsid w:val="00255653"/>
    <w:rsid w:val="00255DEB"/>
    <w:rsid w:val="00257A8A"/>
    <w:rsid w:val="0026078B"/>
    <w:rsid w:val="00260B5E"/>
    <w:rsid w:val="00261ACD"/>
    <w:rsid w:val="00262229"/>
    <w:rsid w:val="00264AC9"/>
    <w:rsid w:val="0026604B"/>
    <w:rsid w:val="00267180"/>
    <w:rsid w:val="00267923"/>
    <w:rsid w:val="00267D13"/>
    <w:rsid w:val="00270E44"/>
    <w:rsid w:val="0027101C"/>
    <w:rsid w:val="002721EB"/>
    <w:rsid w:val="00272281"/>
    <w:rsid w:val="00272DF3"/>
    <w:rsid w:val="00275133"/>
    <w:rsid w:val="00275442"/>
    <w:rsid w:val="00275F31"/>
    <w:rsid w:val="00276BD2"/>
    <w:rsid w:val="00276BE7"/>
    <w:rsid w:val="00277973"/>
    <w:rsid w:val="00277C81"/>
    <w:rsid w:val="00280323"/>
    <w:rsid w:val="002812E3"/>
    <w:rsid w:val="0028171C"/>
    <w:rsid w:val="0028172C"/>
    <w:rsid w:val="00283056"/>
    <w:rsid w:val="002834C3"/>
    <w:rsid w:val="002836DD"/>
    <w:rsid w:val="00285869"/>
    <w:rsid w:val="00285AF6"/>
    <w:rsid w:val="00286AE1"/>
    <w:rsid w:val="00287A07"/>
    <w:rsid w:val="0029121E"/>
    <w:rsid w:val="00292531"/>
    <w:rsid w:val="00292F7C"/>
    <w:rsid w:val="00293477"/>
    <w:rsid w:val="0029378E"/>
    <w:rsid w:val="00293C33"/>
    <w:rsid w:val="00294717"/>
    <w:rsid w:val="00294D60"/>
    <w:rsid w:val="002954B4"/>
    <w:rsid w:val="00296A87"/>
    <w:rsid w:val="00297ACD"/>
    <w:rsid w:val="00297DFA"/>
    <w:rsid w:val="002A03C3"/>
    <w:rsid w:val="002A0568"/>
    <w:rsid w:val="002A096A"/>
    <w:rsid w:val="002A0C92"/>
    <w:rsid w:val="002A0FE3"/>
    <w:rsid w:val="002A10A9"/>
    <w:rsid w:val="002A1816"/>
    <w:rsid w:val="002A27C4"/>
    <w:rsid w:val="002A2AAF"/>
    <w:rsid w:val="002A2E3D"/>
    <w:rsid w:val="002A3228"/>
    <w:rsid w:val="002A326E"/>
    <w:rsid w:val="002A35F5"/>
    <w:rsid w:val="002A3701"/>
    <w:rsid w:val="002A4559"/>
    <w:rsid w:val="002A5A13"/>
    <w:rsid w:val="002A646E"/>
    <w:rsid w:val="002A6709"/>
    <w:rsid w:val="002A7790"/>
    <w:rsid w:val="002A7B96"/>
    <w:rsid w:val="002B0CCB"/>
    <w:rsid w:val="002B24D5"/>
    <w:rsid w:val="002B26DC"/>
    <w:rsid w:val="002B2BC0"/>
    <w:rsid w:val="002B2F81"/>
    <w:rsid w:val="002B2FA3"/>
    <w:rsid w:val="002B32AC"/>
    <w:rsid w:val="002B333D"/>
    <w:rsid w:val="002B3664"/>
    <w:rsid w:val="002B3665"/>
    <w:rsid w:val="002B397F"/>
    <w:rsid w:val="002B3D94"/>
    <w:rsid w:val="002B52B3"/>
    <w:rsid w:val="002B5707"/>
    <w:rsid w:val="002B5D6D"/>
    <w:rsid w:val="002B6176"/>
    <w:rsid w:val="002B76D1"/>
    <w:rsid w:val="002B7D9A"/>
    <w:rsid w:val="002B7F55"/>
    <w:rsid w:val="002C0563"/>
    <w:rsid w:val="002C06D2"/>
    <w:rsid w:val="002C0EA5"/>
    <w:rsid w:val="002C14BB"/>
    <w:rsid w:val="002C1E70"/>
    <w:rsid w:val="002C1FBC"/>
    <w:rsid w:val="002C2961"/>
    <w:rsid w:val="002C2B4A"/>
    <w:rsid w:val="002C3461"/>
    <w:rsid w:val="002C3B0A"/>
    <w:rsid w:val="002C5545"/>
    <w:rsid w:val="002C5E4D"/>
    <w:rsid w:val="002C6AE6"/>
    <w:rsid w:val="002C6DB2"/>
    <w:rsid w:val="002C7AE7"/>
    <w:rsid w:val="002D049E"/>
    <w:rsid w:val="002D1EA9"/>
    <w:rsid w:val="002D318D"/>
    <w:rsid w:val="002D321C"/>
    <w:rsid w:val="002D3472"/>
    <w:rsid w:val="002D3607"/>
    <w:rsid w:val="002D360C"/>
    <w:rsid w:val="002D3F7F"/>
    <w:rsid w:val="002D4243"/>
    <w:rsid w:val="002D4ADE"/>
    <w:rsid w:val="002D4DA7"/>
    <w:rsid w:val="002D5A85"/>
    <w:rsid w:val="002D695A"/>
    <w:rsid w:val="002D747F"/>
    <w:rsid w:val="002E09E6"/>
    <w:rsid w:val="002E163F"/>
    <w:rsid w:val="002E189D"/>
    <w:rsid w:val="002E2B6A"/>
    <w:rsid w:val="002E34EA"/>
    <w:rsid w:val="002E4694"/>
    <w:rsid w:val="002E5BEE"/>
    <w:rsid w:val="002E5FA2"/>
    <w:rsid w:val="002E7B76"/>
    <w:rsid w:val="002E7D5E"/>
    <w:rsid w:val="002E7DC0"/>
    <w:rsid w:val="002F0E57"/>
    <w:rsid w:val="002F1181"/>
    <w:rsid w:val="002F22F1"/>
    <w:rsid w:val="002F2769"/>
    <w:rsid w:val="002F2ABE"/>
    <w:rsid w:val="002F525D"/>
    <w:rsid w:val="002F53E1"/>
    <w:rsid w:val="002F76E5"/>
    <w:rsid w:val="002F7895"/>
    <w:rsid w:val="002F79A9"/>
    <w:rsid w:val="002F7A8F"/>
    <w:rsid w:val="002F7BFA"/>
    <w:rsid w:val="002F7E1D"/>
    <w:rsid w:val="00300ACE"/>
    <w:rsid w:val="00300C2A"/>
    <w:rsid w:val="00303308"/>
    <w:rsid w:val="0030391C"/>
    <w:rsid w:val="00303B8B"/>
    <w:rsid w:val="00304796"/>
    <w:rsid w:val="0030796B"/>
    <w:rsid w:val="00307A78"/>
    <w:rsid w:val="00307ADC"/>
    <w:rsid w:val="003105E4"/>
    <w:rsid w:val="003125F1"/>
    <w:rsid w:val="00312CBB"/>
    <w:rsid w:val="00312F56"/>
    <w:rsid w:val="00313B73"/>
    <w:rsid w:val="00314105"/>
    <w:rsid w:val="003143F9"/>
    <w:rsid w:val="0031514A"/>
    <w:rsid w:val="00315510"/>
    <w:rsid w:val="00315F3C"/>
    <w:rsid w:val="00316A17"/>
    <w:rsid w:val="00317283"/>
    <w:rsid w:val="00317666"/>
    <w:rsid w:val="0031788A"/>
    <w:rsid w:val="003207C3"/>
    <w:rsid w:val="003211E9"/>
    <w:rsid w:val="00325912"/>
    <w:rsid w:val="00325C37"/>
    <w:rsid w:val="0032652E"/>
    <w:rsid w:val="00327B3A"/>
    <w:rsid w:val="00327BD7"/>
    <w:rsid w:val="00331633"/>
    <w:rsid w:val="00331DAE"/>
    <w:rsid w:val="003322F8"/>
    <w:rsid w:val="0033259B"/>
    <w:rsid w:val="003326BD"/>
    <w:rsid w:val="003334B9"/>
    <w:rsid w:val="003336FC"/>
    <w:rsid w:val="00333B00"/>
    <w:rsid w:val="00333D9A"/>
    <w:rsid w:val="00334247"/>
    <w:rsid w:val="00334350"/>
    <w:rsid w:val="0033439D"/>
    <w:rsid w:val="00335C8A"/>
    <w:rsid w:val="00336746"/>
    <w:rsid w:val="0033685D"/>
    <w:rsid w:val="0033736B"/>
    <w:rsid w:val="003374D7"/>
    <w:rsid w:val="00337800"/>
    <w:rsid w:val="00337AB7"/>
    <w:rsid w:val="003410E3"/>
    <w:rsid w:val="0034153C"/>
    <w:rsid w:val="00341CEB"/>
    <w:rsid w:val="00344F26"/>
    <w:rsid w:val="00350589"/>
    <w:rsid w:val="00350AD0"/>
    <w:rsid w:val="00351816"/>
    <w:rsid w:val="00351FCB"/>
    <w:rsid w:val="003522D1"/>
    <w:rsid w:val="00352B3F"/>
    <w:rsid w:val="003539A1"/>
    <w:rsid w:val="00356FDE"/>
    <w:rsid w:val="00357819"/>
    <w:rsid w:val="003602BB"/>
    <w:rsid w:val="003609FA"/>
    <w:rsid w:val="00360F6B"/>
    <w:rsid w:val="003612AD"/>
    <w:rsid w:val="003619E4"/>
    <w:rsid w:val="00361E83"/>
    <w:rsid w:val="003624F5"/>
    <w:rsid w:val="0036305C"/>
    <w:rsid w:val="003637A5"/>
    <w:rsid w:val="003647B8"/>
    <w:rsid w:val="00364A3F"/>
    <w:rsid w:val="00364CF2"/>
    <w:rsid w:val="003652C2"/>
    <w:rsid w:val="00366057"/>
    <w:rsid w:val="003662AC"/>
    <w:rsid w:val="003675BB"/>
    <w:rsid w:val="00367F50"/>
    <w:rsid w:val="00370A97"/>
    <w:rsid w:val="0037206D"/>
    <w:rsid w:val="0037322D"/>
    <w:rsid w:val="00373C44"/>
    <w:rsid w:val="003740A0"/>
    <w:rsid w:val="003768F0"/>
    <w:rsid w:val="00376C80"/>
    <w:rsid w:val="0038034E"/>
    <w:rsid w:val="003812A5"/>
    <w:rsid w:val="00381D78"/>
    <w:rsid w:val="00382535"/>
    <w:rsid w:val="0038290E"/>
    <w:rsid w:val="00382E7E"/>
    <w:rsid w:val="00382FFA"/>
    <w:rsid w:val="0038315B"/>
    <w:rsid w:val="003831B5"/>
    <w:rsid w:val="0038375A"/>
    <w:rsid w:val="0038398C"/>
    <w:rsid w:val="0038518A"/>
    <w:rsid w:val="00385BA1"/>
    <w:rsid w:val="00385C78"/>
    <w:rsid w:val="00385D35"/>
    <w:rsid w:val="00385DC1"/>
    <w:rsid w:val="00387198"/>
    <w:rsid w:val="003878A0"/>
    <w:rsid w:val="00390DD5"/>
    <w:rsid w:val="00390E2B"/>
    <w:rsid w:val="003922B0"/>
    <w:rsid w:val="00393EB2"/>
    <w:rsid w:val="00394082"/>
    <w:rsid w:val="003943BC"/>
    <w:rsid w:val="0039447D"/>
    <w:rsid w:val="0039512F"/>
    <w:rsid w:val="00395A49"/>
    <w:rsid w:val="003A0C45"/>
    <w:rsid w:val="003A1664"/>
    <w:rsid w:val="003A2477"/>
    <w:rsid w:val="003A4346"/>
    <w:rsid w:val="003A4CA1"/>
    <w:rsid w:val="003A4CEC"/>
    <w:rsid w:val="003A5629"/>
    <w:rsid w:val="003A658C"/>
    <w:rsid w:val="003A65F7"/>
    <w:rsid w:val="003A763A"/>
    <w:rsid w:val="003A773C"/>
    <w:rsid w:val="003A7CB8"/>
    <w:rsid w:val="003B0A75"/>
    <w:rsid w:val="003B3749"/>
    <w:rsid w:val="003B38FA"/>
    <w:rsid w:val="003B58F9"/>
    <w:rsid w:val="003B5C17"/>
    <w:rsid w:val="003B5C60"/>
    <w:rsid w:val="003B63C0"/>
    <w:rsid w:val="003B63D7"/>
    <w:rsid w:val="003B6D62"/>
    <w:rsid w:val="003C08F2"/>
    <w:rsid w:val="003C2368"/>
    <w:rsid w:val="003C653E"/>
    <w:rsid w:val="003C6D14"/>
    <w:rsid w:val="003C71E8"/>
    <w:rsid w:val="003D0118"/>
    <w:rsid w:val="003D0959"/>
    <w:rsid w:val="003D22F8"/>
    <w:rsid w:val="003D2B23"/>
    <w:rsid w:val="003D2E7B"/>
    <w:rsid w:val="003D4FDF"/>
    <w:rsid w:val="003D539E"/>
    <w:rsid w:val="003D6812"/>
    <w:rsid w:val="003D7267"/>
    <w:rsid w:val="003D77DC"/>
    <w:rsid w:val="003E0169"/>
    <w:rsid w:val="003E0205"/>
    <w:rsid w:val="003E0648"/>
    <w:rsid w:val="003E0AF0"/>
    <w:rsid w:val="003E0D19"/>
    <w:rsid w:val="003E0E6C"/>
    <w:rsid w:val="003E2315"/>
    <w:rsid w:val="003E3F77"/>
    <w:rsid w:val="003E47AB"/>
    <w:rsid w:val="003E48B9"/>
    <w:rsid w:val="003E50A4"/>
    <w:rsid w:val="003E51B4"/>
    <w:rsid w:val="003F03BD"/>
    <w:rsid w:val="003F0701"/>
    <w:rsid w:val="003F2324"/>
    <w:rsid w:val="003F409B"/>
    <w:rsid w:val="003F4372"/>
    <w:rsid w:val="003F4511"/>
    <w:rsid w:val="003F5821"/>
    <w:rsid w:val="0040082F"/>
    <w:rsid w:val="0040152C"/>
    <w:rsid w:val="00401E2B"/>
    <w:rsid w:val="00402E60"/>
    <w:rsid w:val="00403F99"/>
    <w:rsid w:val="00404273"/>
    <w:rsid w:val="00405341"/>
    <w:rsid w:val="00405396"/>
    <w:rsid w:val="004063ED"/>
    <w:rsid w:val="00406A1E"/>
    <w:rsid w:val="0041051F"/>
    <w:rsid w:val="00410708"/>
    <w:rsid w:val="00410D45"/>
    <w:rsid w:val="0041211E"/>
    <w:rsid w:val="00412436"/>
    <w:rsid w:val="004136A8"/>
    <w:rsid w:val="00413862"/>
    <w:rsid w:val="0041398E"/>
    <w:rsid w:val="004144E5"/>
    <w:rsid w:val="004146ED"/>
    <w:rsid w:val="00414AD2"/>
    <w:rsid w:val="00414F18"/>
    <w:rsid w:val="0041654C"/>
    <w:rsid w:val="00416951"/>
    <w:rsid w:val="004171A5"/>
    <w:rsid w:val="0042009C"/>
    <w:rsid w:val="004200BE"/>
    <w:rsid w:val="004203A8"/>
    <w:rsid w:val="00420DC4"/>
    <w:rsid w:val="004229B5"/>
    <w:rsid w:val="00422BB2"/>
    <w:rsid w:val="00423318"/>
    <w:rsid w:val="004233BB"/>
    <w:rsid w:val="0042360C"/>
    <w:rsid w:val="004243A6"/>
    <w:rsid w:val="0042475A"/>
    <w:rsid w:val="004248A7"/>
    <w:rsid w:val="0042589D"/>
    <w:rsid w:val="00427E03"/>
    <w:rsid w:val="0043008A"/>
    <w:rsid w:val="004305F5"/>
    <w:rsid w:val="00432437"/>
    <w:rsid w:val="0043571F"/>
    <w:rsid w:val="00435D80"/>
    <w:rsid w:val="00437FC4"/>
    <w:rsid w:val="004407D8"/>
    <w:rsid w:val="004427E6"/>
    <w:rsid w:val="004429AA"/>
    <w:rsid w:val="00442A0B"/>
    <w:rsid w:val="00443350"/>
    <w:rsid w:val="004436A1"/>
    <w:rsid w:val="004438AA"/>
    <w:rsid w:val="00444B50"/>
    <w:rsid w:val="00444BF4"/>
    <w:rsid w:val="00444FD1"/>
    <w:rsid w:val="0044531C"/>
    <w:rsid w:val="004455F3"/>
    <w:rsid w:val="00445EF3"/>
    <w:rsid w:val="00446065"/>
    <w:rsid w:val="0044703A"/>
    <w:rsid w:val="00450BB3"/>
    <w:rsid w:val="00451BA8"/>
    <w:rsid w:val="0045293F"/>
    <w:rsid w:val="0045412F"/>
    <w:rsid w:val="004543FE"/>
    <w:rsid w:val="00454734"/>
    <w:rsid w:val="00454D49"/>
    <w:rsid w:val="004556CB"/>
    <w:rsid w:val="00456857"/>
    <w:rsid w:val="004575C8"/>
    <w:rsid w:val="00457D2D"/>
    <w:rsid w:val="00457EF2"/>
    <w:rsid w:val="00460E7C"/>
    <w:rsid w:val="00461813"/>
    <w:rsid w:val="00461F81"/>
    <w:rsid w:val="00462957"/>
    <w:rsid w:val="004629F7"/>
    <w:rsid w:val="00462AA6"/>
    <w:rsid w:val="004631E0"/>
    <w:rsid w:val="004640DA"/>
    <w:rsid w:val="00464F38"/>
    <w:rsid w:val="004657CE"/>
    <w:rsid w:val="00465BEE"/>
    <w:rsid w:val="00470C71"/>
    <w:rsid w:val="0047204E"/>
    <w:rsid w:val="004728DC"/>
    <w:rsid w:val="00473297"/>
    <w:rsid w:val="0047472C"/>
    <w:rsid w:val="00474A9A"/>
    <w:rsid w:val="0047535F"/>
    <w:rsid w:val="0047586C"/>
    <w:rsid w:val="00475B68"/>
    <w:rsid w:val="004760CE"/>
    <w:rsid w:val="004764AA"/>
    <w:rsid w:val="004766F7"/>
    <w:rsid w:val="00476EC2"/>
    <w:rsid w:val="0047727F"/>
    <w:rsid w:val="00477FD9"/>
    <w:rsid w:val="0048093E"/>
    <w:rsid w:val="004813E3"/>
    <w:rsid w:val="004815AD"/>
    <w:rsid w:val="00481FC4"/>
    <w:rsid w:val="00482E89"/>
    <w:rsid w:val="00483095"/>
    <w:rsid w:val="004842B9"/>
    <w:rsid w:val="0048468C"/>
    <w:rsid w:val="00484A8B"/>
    <w:rsid w:val="00485219"/>
    <w:rsid w:val="00485699"/>
    <w:rsid w:val="00486DB8"/>
    <w:rsid w:val="004877FB"/>
    <w:rsid w:val="00487F66"/>
    <w:rsid w:val="004943CB"/>
    <w:rsid w:val="00494877"/>
    <w:rsid w:val="004951D4"/>
    <w:rsid w:val="004959D1"/>
    <w:rsid w:val="004960C0"/>
    <w:rsid w:val="004A03EA"/>
    <w:rsid w:val="004A0884"/>
    <w:rsid w:val="004A09FB"/>
    <w:rsid w:val="004A1861"/>
    <w:rsid w:val="004A18E1"/>
    <w:rsid w:val="004A1CD8"/>
    <w:rsid w:val="004A278E"/>
    <w:rsid w:val="004A3585"/>
    <w:rsid w:val="004A7458"/>
    <w:rsid w:val="004B15C1"/>
    <w:rsid w:val="004B1A35"/>
    <w:rsid w:val="004B24FC"/>
    <w:rsid w:val="004B2891"/>
    <w:rsid w:val="004B3700"/>
    <w:rsid w:val="004B3D05"/>
    <w:rsid w:val="004B4451"/>
    <w:rsid w:val="004B44D6"/>
    <w:rsid w:val="004B44F5"/>
    <w:rsid w:val="004B5225"/>
    <w:rsid w:val="004B57B1"/>
    <w:rsid w:val="004B67D3"/>
    <w:rsid w:val="004B7422"/>
    <w:rsid w:val="004B7F3D"/>
    <w:rsid w:val="004C1F51"/>
    <w:rsid w:val="004C34DC"/>
    <w:rsid w:val="004C3673"/>
    <w:rsid w:val="004C3867"/>
    <w:rsid w:val="004C498A"/>
    <w:rsid w:val="004C4DA8"/>
    <w:rsid w:val="004C56C6"/>
    <w:rsid w:val="004C5BAC"/>
    <w:rsid w:val="004C791B"/>
    <w:rsid w:val="004D03C6"/>
    <w:rsid w:val="004D0513"/>
    <w:rsid w:val="004D0CC6"/>
    <w:rsid w:val="004D1496"/>
    <w:rsid w:val="004D20FB"/>
    <w:rsid w:val="004D2777"/>
    <w:rsid w:val="004D31AD"/>
    <w:rsid w:val="004D3C01"/>
    <w:rsid w:val="004D42F3"/>
    <w:rsid w:val="004D5CF9"/>
    <w:rsid w:val="004D67DC"/>
    <w:rsid w:val="004D7558"/>
    <w:rsid w:val="004E02C4"/>
    <w:rsid w:val="004E063F"/>
    <w:rsid w:val="004E3BB2"/>
    <w:rsid w:val="004E5393"/>
    <w:rsid w:val="004E585C"/>
    <w:rsid w:val="004E7352"/>
    <w:rsid w:val="004F062E"/>
    <w:rsid w:val="004F0D28"/>
    <w:rsid w:val="004F0F60"/>
    <w:rsid w:val="004F12BC"/>
    <w:rsid w:val="004F1798"/>
    <w:rsid w:val="004F2706"/>
    <w:rsid w:val="004F28D2"/>
    <w:rsid w:val="004F2F92"/>
    <w:rsid w:val="004F3CD1"/>
    <w:rsid w:val="004F3DC2"/>
    <w:rsid w:val="004F410A"/>
    <w:rsid w:val="004F731E"/>
    <w:rsid w:val="00500185"/>
    <w:rsid w:val="00500783"/>
    <w:rsid w:val="00501302"/>
    <w:rsid w:val="005017B9"/>
    <w:rsid w:val="00502CF2"/>
    <w:rsid w:val="0050306B"/>
    <w:rsid w:val="00503141"/>
    <w:rsid w:val="00503AC7"/>
    <w:rsid w:val="00504751"/>
    <w:rsid w:val="00504D30"/>
    <w:rsid w:val="00505523"/>
    <w:rsid w:val="00505840"/>
    <w:rsid w:val="00505E89"/>
    <w:rsid w:val="005069F5"/>
    <w:rsid w:val="00506E49"/>
    <w:rsid w:val="005071F0"/>
    <w:rsid w:val="00507E24"/>
    <w:rsid w:val="005104DC"/>
    <w:rsid w:val="00510B56"/>
    <w:rsid w:val="00510F6A"/>
    <w:rsid w:val="00511853"/>
    <w:rsid w:val="00512829"/>
    <w:rsid w:val="00514FA0"/>
    <w:rsid w:val="00515340"/>
    <w:rsid w:val="00515A51"/>
    <w:rsid w:val="00520C27"/>
    <w:rsid w:val="00520C8E"/>
    <w:rsid w:val="00520DFD"/>
    <w:rsid w:val="00521799"/>
    <w:rsid w:val="0052353C"/>
    <w:rsid w:val="00526D63"/>
    <w:rsid w:val="00526E94"/>
    <w:rsid w:val="005279E5"/>
    <w:rsid w:val="00530568"/>
    <w:rsid w:val="00531077"/>
    <w:rsid w:val="005318B9"/>
    <w:rsid w:val="00531BAF"/>
    <w:rsid w:val="0053243D"/>
    <w:rsid w:val="005325D4"/>
    <w:rsid w:val="00532A00"/>
    <w:rsid w:val="0053349C"/>
    <w:rsid w:val="00535B75"/>
    <w:rsid w:val="00535CA9"/>
    <w:rsid w:val="00536A9B"/>
    <w:rsid w:val="00536B13"/>
    <w:rsid w:val="00536E92"/>
    <w:rsid w:val="005370D3"/>
    <w:rsid w:val="005374BB"/>
    <w:rsid w:val="005413DB"/>
    <w:rsid w:val="00541951"/>
    <w:rsid w:val="00543562"/>
    <w:rsid w:val="005439D7"/>
    <w:rsid w:val="00543E97"/>
    <w:rsid w:val="00545650"/>
    <w:rsid w:val="005466B2"/>
    <w:rsid w:val="00547814"/>
    <w:rsid w:val="0055023D"/>
    <w:rsid w:val="00550522"/>
    <w:rsid w:val="00550E17"/>
    <w:rsid w:val="00552872"/>
    <w:rsid w:val="005530FE"/>
    <w:rsid w:val="0055312F"/>
    <w:rsid w:val="00553622"/>
    <w:rsid w:val="005538A9"/>
    <w:rsid w:val="00554AC9"/>
    <w:rsid w:val="005572D6"/>
    <w:rsid w:val="00557BE3"/>
    <w:rsid w:val="005632A3"/>
    <w:rsid w:val="005635C0"/>
    <w:rsid w:val="00563739"/>
    <w:rsid w:val="00563A8E"/>
    <w:rsid w:val="0056437B"/>
    <w:rsid w:val="005652BF"/>
    <w:rsid w:val="00570AB7"/>
    <w:rsid w:val="00570DB5"/>
    <w:rsid w:val="00570EC1"/>
    <w:rsid w:val="00575FD3"/>
    <w:rsid w:val="00577708"/>
    <w:rsid w:val="00577C73"/>
    <w:rsid w:val="00580C17"/>
    <w:rsid w:val="00583EB0"/>
    <w:rsid w:val="005857E3"/>
    <w:rsid w:val="005869B6"/>
    <w:rsid w:val="005924F5"/>
    <w:rsid w:val="005932F0"/>
    <w:rsid w:val="00594D78"/>
    <w:rsid w:val="005951A6"/>
    <w:rsid w:val="0059657F"/>
    <w:rsid w:val="00596BFF"/>
    <w:rsid w:val="00597488"/>
    <w:rsid w:val="00597F59"/>
    <w:rsid w:val="005A010A"/>
    <w:rsid w:val="005A1710"/>
    <w:rsid w:val="005A1B1C"/>
    <w:rsid w:val="005A34E4"/>
    <w:rsid w:val="005A5D05"/>
    <w:rsid w:val="005A5DA5"/>
    <w:rsid w:val="005A5FDD"/>
    <w:rsid w:val="005A603A"/>
    <w:rsid w:val="005A78CC"/>
    <w:rsid w:val="005B1326"/>
    <w:rsid w:val="005B341E"/>
    <w:rsid w:val="005B36AF"/>
    <w:rsid w:val="005B3766"/>
    <w:rsid w:val="005B5774"/>
    <w:rsid w:val="005B5B1B"/>
    <w:rsid w:val="005B662F"/>
    <w:rsid w:val="005B771D"/>
    <w:rsid w:val="005C4A88"/>
    <w:rsid w:val="005D0E4B"/>
    <w:rsid w:val="005D1F07"/>
    <w:rsid w:val="005D4CC8"/>
    <w:rsid w:val="005D5DFF"/>
    <w:rsid w:val="005D6600"/>
    <w:rsid w:val="005D6C2D"/>
    <w:rsid w:val="005E102F"/>
    <w:rsid w:val="005E19EC"/>
    <w:rsid w:val="005E1B6C"/>
    <w:rsid w:val="005E2EB9"/>
    <w:rsid w:val="005E3702"/>
    <w:rsid w:val="005E4817"/>
    <w:rsid w:val="005E4B3C"/>
    <w:rsid w:val="005E528B"/>
    <w:rsid w:val="005E6349"/>
    <w:rsid w:val="005E65D3"/>
    <w:rsid w:val="005E77D4"/>
    <w:rsid w:val="005F07F7"/>
    <w:rsid w:val="005F2716"/>
    <w:rsid w:val="005F362F"/>
    <w:rsid w:val="005F3C74"/>
    <w:rsid w:val="005F3D83"/>
    <w:rsid w:val="005F4FF9"/>
    <w:rsid w:val="005F523C"/>
    <w:rsid w:val="005F6801"/>
    <w:rsid w:val="005F7758"/>
    <w:rsid w:val="005F7FE8"/>
    <w:rsid w:val="0060380F"/>
    <w:rsid w:val="006073A7"/>
    <w:rsid w:val="00607AC5"/>
    <w:rsid w:val="00612676"/>
    <w:rsid w:val="00614054"/>
    <w:rsid w:val="006144B2"/>
    <w:rsid w:val="00615CD0"/>
    <w:rsid w:val="00617A4A"/>
    <w:rsid w:val="00617DAE"/>
    <w:rsid w:val="00620557"/>
    <w:rsid w:val="00620EE1"/>
    <w:rsid w:val="00620FD7"/>
    <w:rsid w:val="0062101E"/>
    <w:rsid w:val="0062250A"/>
    <w:rsid w:val="00622A63"/>
    <w:rsid w:val="00624171"/>
    <w:rsid w:val="00627942"/>
    <w:rsid w:val="00631012"/>
    <w:rsid w:val="0063175F"/>
    <w:rsid w:val="006317A0"/>
    <w:rsid w:val="00632EB7"/>
    <w:rsid w:val="00633724"/>
    <w:rsid w:val="00633CE5"/>
    <w:rsid w:val="00633F2D"/>
    <w:rsid w:val="00633FA6"/>
    <w:rsid w:val="00634EEC"/>
    <w:rsid w:val="00635015"/>
    <w:rsid w:val="006365E0"/>
    <w:rsid w:val="0063692D"/>
    <w:rsid w:val="006408BF"/>
    <w:rsid w:val="0064112E"/>
    <w:rsid w:val="00642212"/>
    <w:rsid w:val="00642251"/>
    <w:rsid w:val="00643386"/>
    <w:rsid w:val="006440EC"/>
    <w:rsid w:val="006443F4"/>
    <w:rsid w:val="00644CD1"/>
    <w:rsid w:val="0064566D"/>
    <w:rsid w:val="006477EE"/>
    <w:rsid w:val="00647E56"/>
    <w:rsid w:val="006500BE"/>
    <w:rsid w:val="00650391"/>
    <w:rsid w:val="00650871"/>
    <w:rsid w:val="00650DA3"/>
    <w:rsid w:val="006525C7"/>
    <w:rsid w:val="00660051"/>
    <w:rsid w:val="006600AE"/>
    <w:rsid w:val="006602BC"/>
    <w:rsid w:val="00660F56"/>
    <w:rsid w:val="00661531"/>
    <w:rsid w:val="00662CA1"/>
    <w:rsid w:val="00662E8E"/>
    <w:rsid w:val="00664516"/>
    <w:rsid w:val="00664DBB"/>
    <w:rsid w:val="006651E9"/>
    <w:rsid w:val="006662D5"/>
    <w:rsid w:val="00670C59"/>
    <w:rsid w:val="0067157F"/>
    <w:rsid w:val="006728AB"/>
    <w:rsid w:val="006729B9"/>
    <w:rsid w:val="00672A69"/>
    <w:rsid w:val="00672BE6"/>
    <w:rsid w:val="00672C36"/>
    <w:rsid w:val="006744EE"/>
    <w:rsid w:val="00674827"/>
    <w:rsid w:val="006754A0"/>
    <w:rsid w:val="00675A9A"/>
    <w:rsid w:val="006769DA"/>
    <w:rsid w:val="00676A94"/>
    <w:rsid w:val="00680928"/>
    <w:rsid w:val="00681B45"/>
    <w:rsid w:val="00682BFA"/>
    <w:rsid w:val="00682D56"/>
    <w:rsid w:val="0068355E"/>
    <w:rsid w:val="0068387D"/>
    <w:rsid w:val="00683D21"/>
    <w:rsid w:val="0068477C"/>
    <w:rsid w:val="00684949"/>
    <w:rsid w:val="00684A0F"/>
    <w:rsid w:val="00684F29"/>
    <w:rsid w:val="0068537E"/>
    <w:rsid w:val="006854C9"/>
    <w:rsid w:val="00686D3E"/>
    <w:rsid w:val="00687406"/>
    <w:rsid w:val="00687BFB"/>
    <w:rsid w:val="00687D5E"/>
    <w:rsid w:val="00693127"/>
    <w:rsid w:val="006942B6"/>
    <w:rsid w:val="00695B25"/>
    <w:rsid w:val="006965D2"/>
    <w:rsid w:val="006972CA"/>
    <w:rsid w:val="00697C41"/>
    <w:rsid w:val="006A038F"/>
    <w:rsid w:val="006A171B"/>
    <w:rsid w:val="006A21A9"/>
    <w:rsid w:val="006A2255"/>
    <w:rsid w:val="006A35D1"/>
    <w:rsid w:val="006A4FF5"/>
    <w:rsid w:val="006A6458"/>
    <w:rsid w:val="006A6AA1"/>
    <w:rsid w:val="006A6C16"/>
    <w:rsid w:val="006A6C44"/>
    <w:rsid w:val="006A7435"/>
    <w:rsid w:val="006A7801"/>
    <w:rsid w:val="006B20BB"/>
    <w:rsid w:val="006B21D0"/>
    <w:rsid w:val="006B4230"/>
    <w:rsid w:val="006B4A6A"/>
    <w:rsid w:val="006B5A39"/>
    <w:rsid w:val="006B5B8E"/>
    <w:rsid w:val="006B5CDA"/>
    <w:rsid w:val="006B612B"/>
    <w:rsid w:val="006B6550"/>
    <w:rsid w:val="006B6B2D"/>
    <w:rsid w:val="006B6BE7"/>
    <w:rsid w:val="006B6D24"/>
    <w:rsid w:val="006B6F94"/>
    <w:rsid w:val="006B7021"/>
    <w:rsid w:val="006B7239"/>
    <w:rsid w:val="006C0F8B"/>
    <w:rsid w:val="006C1B69"/>
    <w:rsid w:val="006C2751"/>
    <w:rsid w:val="006C28F4"/>
    <w:rsid w:val="006C33F1"/>
    <w:rsid w:val="006C3FA2"/>
    <w:rsid w:val="006C63B7"/>
    <w:rsid w:val="006C759D"/>
    <w:rsid w:val="006C79FD"/>
    <w:rsid w:val="006C7D5A"/>
    <w:rsid w:val="006D15EA"/>
    <w:rsid w:val="006D1672"/>
    <w:rsid w:val="006D2913"/>
    <w:rsid w:val="006D3809"/>
    <w:rsid w:val="006D420F"/>
    <w:rsid w:val="006D601D"/>
    <w:rsid w:val="006D7B93"/>
    <w:rsid w:val="006E06A1"/>
    <w:rsid w:val="006E0969"/>
    <w:rsid w:val="006E12F6"/>
    <w:rsid w:val="006E24B1"/>
    <w:rsid w:val="006E278C"/>
    <w:rsid w:val="006E3BF5"/>
    <w:rsid w:val="006E4107"/>
    <w:rsid w:val="006E42DA"/>
    <w:rsid w:val="006E46DC"/>
    <w:rsid w:val="006E48DB"/>
    <w:rsid w:val="006E4901"/>
    <w:rsid w:val="006E4924"/>
    <w:rsid w:val="006E6045"/>
    <w:rsid w:val="006F0431"/>
    <w:rsid w:val="006F07BC"/>
    <w:rsid w:val="006F0851"/>
    <w:rsid w:val="006F10DC"/>
    <w:rsid w:val="006F18FB"/>
    <w:rsid w:val="006F203A"/>
    <w:rsid w:val="006F2E0A"/>
    <w:rsid w:val="006F2F84"/>
    <w:rsid w:val="006F4B38"/>
    <w:rsid w:val="006F4B77"/>
    <w:rsid w:val="006F4E22"/>
    <w:rsid w:val="006F4F92"/>
    <w:rsid w:val="006F67AE"/>
    <w:rsid w:val="006F6E8E"/>
    <w:rsid w:val="006F7C04"/>
    <w:rsid w:val="00700095"/>
    <w:rsid w:val="00701A50"/>
    <w:rsid w:val="00701AE5"/>
    <w:rsid w:val="00701F1B"/>
    <w:rsid w:val="007048D7"/>
    <w:rsid w:val="00704D23"/>
    <w:rsid w:val="00705D55"/>
    <w:rsid w:val="00707A2C"/>
    <w:rsid w:val="00707DFC"/>
    <w:rsid w:val="00707EF1"/>
    <w:rsid w:val="00707FF1"/>
    <w:rsid w:val="007108E9"/>
    <w:rsid w:val="00710AFD"/>
    <w:rsid w:val="0071174F"/>
    <w:rsid w:val="00711772"/>
    <w:rsid w:val="00711FFA"/>
    <w:rsid w:val="007122C1"/>
    <w:rsid w:val="00712AB1"/>
    <w:rsid w:val="00712D9B"/>
    <w:rsid w:val="00713163"/>
    <w:rsid w:val="00714A72"/>
    <w:rsid w:val="00715542"/>
    <w:rsid w:val="007157C9"/>
    <w:rsid w:val="00716342"/>
    <w:rsid w:val="0071634B"/>
    <w:rsid w:val="00716BE6"/>
    <w:rsid w:val="0071721D"/>
    <w:rsid w:val="00717481"/>
    <w:rsid w:val="00720C3F"/>
    <w:rsid w:val="00721D72"/>
    <w:rsid w:val="00721FEC"/>
    <w:rsid w:val="00722E84"/>
    <w:rsid w:val="0072308B"/>
    <w:rsid w:val="007233D7"/>
    <w:rsid w:val="00723EF0"/>
    <w:rsid w:val="00724A4F"/>
    <w:rsid w:val="00725385"/>
    <w:rsid w:val="00725CC2"/>
    <w:rsid w:val="00726C18"/>
    <w:rsid w:val="00727002"/>
    <w:rsid w:val="00727C0D"/>
    <w:rsid w:val="0073090F"/>
    <w:rsid w:val="0073180D"/>
    <w:rsid w:val="0073267E"/>
    <w:rsid w:val="0073290D"/>
    <w:rsid w:val="00733179"/>
    <w:rsid w:val="00733B9C"/>
    <w:rsid w:val="0074095C"/>
    <w:rsid w:val="007414D9"/>
    <w:rsid w:val="00742319"/>
    <w:rsid w:val="007424EE"/>
    <w:rsid w:val="00746F34"/>
    <w:rsid w:val="00747093"/>
    <w:rsid w:val="00747242"/>
    <w:rsid w:val="0075069D"/>
    <w:rsid w:val="0075094F"/>
    <w:rsid w:val="00750A86"/>
    <w:rsid w:val="007516E5"/>
    <w:rsid w:val="00751A9D"/>
    <w:rsid w:val="00751CAC"/>
    <w:rsid w:val="00752496"/>
    <w:rsid w:val="0075302B"/>
    <w:rsid w:val="00753984"/>
    <w:rsid w:val="00753F2B"/>
    <w:rsid w:val="00753FC6"/>
    <w:rsid w:val="00754333"/>
    <w:rsid w:val="00755DBA"/>
    <w:rsid w:val="00756D63"/>
    <w:rsid w:val="00757D17"/>
    <w:rsid w:val="00757F54"/>
    <w:rsid w:val="00760D93"/>
    <w:rsid w:val="0076136D"/>
    <w:rsid w:val="0076145F"/>
    <w:rsid w:val="0076166C"/>
    <w:rsid w:val="00761A79"/>
    <w:rsid w:val="007636B9"/>
    <w:rsid w:val="00765CCB"/>
    <w:rsid w:val="00766362"/>
    <w:rsid w:val="00767398"/>
    <w:rsid w:val="00770545"/>
    <w:rsid w:val="007705D9"/>
    <w:rsid w:val="00770E4C"/>
    <w:rsid w:val="00771D55"/>
    <w:rsid w:val="00771FB8"/>
    <w:rsid w:val="00772403"/>
    <w:rsid w:val="007726CC"/>
    <w:rsid w:val="0077284F"/>
    <w:rsid w:val="007747C2"/>
    <w:rsid w:val="0077579E"/>
    <w:rsid w:val="00776590"/>
    <w:rsid w:val="00776B1D"/>
    <w:rsid w:val="00780641"/>
    <w:rsid w:val="007809BF"/>
    <w:rsid w:val="00780E87"/>
    <w:rsid w:val="007817F5"/>
    <w:rsid w:val="00782996"/>
    <w:rsid w:val="00782AEA"/>
    <w:rsid w:val="00782B7F"/>
    <w:rsid w:val="00783169"/>
    <w:rsid w:val="007840D0"/>
    <w:rsid w:val="00784FF1"/>
    <w:rsid w:val="00785953"/>
    <w:rsid w:val="00786719"/>
    <w:rsid w:val="00786F37"/>
    <w:rsid w:val="007906F3"/>
    <w:rsid w:val="00791048"/>
    <w:rsid w:val="007910F7"/>
    <w:rsid w:val="00791EF8"/>
    <w:rsid w:val="00792007"/>
    <w:rsid w:val="007927C9"/>
    <w:rsid w:val="00793186"/>
    <w:rsid w:val="00793A30"/>
    <w:rsid w:val="0079401D"/>
    <w:rsid w:val="00795656"/>
    <w:rsid w:val="007957F5"/>
    <w:rsid w:val="00796823"/>
    <w:rsid w:val="00796870"/>
    <w:rsid w:val="00796A3A"/>
    <w:rsid w:val="007970F7"/>
    <w:rsid w:val="007A13F7"/>
    <w:rsid w:val="007A2A79"/>
    <w:rsid w:val="007A2F4F"/>
    <w:rsid w:val="007A339C"/>
    <w:rsid w:val="007A3920"/>
    <w:rsid w:val="007A52C5"/>
    <w:rsid w:val="007A54C4"/>
    <w:rsid w:val="007A57EA"/>
    <w:rsid w:val="007B0C3D"/>
    <w:rsid w:val="007B0E16"/>
    <w:rsid w:val="007B0F00"/>
    <w:rsid w:val="007B119D"/>
    <w:rsid w:val="007B2FA4"/>
    <w:rsid w:val="007B38E9"/>
    <w:rsid w:val="007B42AB"/>
    <w:rsid w:val="007B4EB7"/>
    <w:rsid w:val="007B6313"/>
    <w:rsid w:val="007B6BCA"/>
    <w:rsid w:val="007B6C9F"/>
    <w:rsid w:val="007B77D1"/>
    <w:rsid w:val="007B7D76"/>
    <w:rsid w:val="007C01BD"/>
    <w:rsid w:val="007C10F6"/>
    <w:rsid w:val="007C4278"/>
    <w:rsid w:val="007C4CE2"/>
    <w:rsid w:val="007C53A4"/>
    <w:rsid w:val="007C579F"/>
    <w:rsid w:val="007C57AF"/>
    <w:rsid w:val="007C59F8"/>
    <w:rsid w:val="007C63B2"/>
    <w:rsid w:val="007C6975"/>
    <w:rsid w:val="007C722F"/>
    <w:rsid w:val="007C7822"/>
    <w:rsid w:val="007D0648"/>
    <w:rsid w:val="007D1682"/>
    <w:rsid w:val="007D1E46"/>
    <w:rsid w:val="007D2094"/>
    <w:rsid w:val="007D2B6D"/>
    <w:rsid w:val="007D330D"/>
    <w:rsid w:val="007D50D7"/>
    <w:rsid w:val="007D5625"/>
    <w:rsid w:val="007D6067"/>
    <w:rsid w:val="007D61E8"/>
    <w:rsid w:val="007D75FE"/>
    <w:rsid w:val="007D77E8"/>
    <w:rsid w:val="007D7CAD"/>
    <w:rsid w:val="007E120F"/>
    <w:rsid w:val="007E14A7"/>
    <w:rsid w:val="007E2B4D"/>
    <w:rsid w:val="007E2DEF"/>
    <w:rsid w:val="007E334D"/>
    <w:rsid w:val="007E38AF"/>
    <w:rsid w:val="007E6732"/>
    <w:rsid w:val="007E6934"/>
    <w:rsid w:val="007E6E6C"/>
    <w:rsid w:val="007E75C8"/>
    <w:rsid w:val="007E798A"/>
    <w:rsid w:val="007E7F57"/>
    <w:rsid w:val="007F2CA8"/>
    <w:rsid w:val="007F32F6"/>
    <w:rsid w:val="007F3BA0"/>
    <w:rsid w:val="007F43F9"/>
    <w:rsid w:val="007F5A88"/>
    <w:rsid w:val="007F6359"/>
    <w:rsid w:val="00801511"/>
    <w:rsid w:val="00802932"/>
    <w:rsid w:val="00802C79"/>
    <w:rsid w:val="00802D05"/>
    <w:rsid w:val="0080449E"/>
    <w:rsid w:val="00806559"/>
    <w:rsid w:val="00807E27"/>
    <w:rsid w:val="008104A2"/>
    <w:rsid w:val="00810620"/>
    <w:rsid w:val="008127D8"/>
    <w:rsid w:val="00812BC4"/>
    <w:rsid w:val="00813345"/>
    <w:rsid w:val="00814111"/>
    <w:rsid w:val="008141D9"/>
    <w:rsid w:val="0081507F"/>
    <w:rsid w:val="00816AD1"/>
    <w:rsid w:val="008174CE"/>
    <w:rsid w:val="00817AB8"/>
    <w:rsid w:val="00820A7A"/>
    <w:rsid w:val="00821014"/>
    <w:rsid w:val="008215ED"/>
    <w:rsid w:val="00822F35"/>
    <w:rsid w:val="008234ED"/>
    <w:rsid w:val="008239B9"/>
    <w:rsid w:val="00824025"/>
    <w:rsid w:val="008263BD"/>
    <w:rsid w:val="00827973"/>
    <w:rsid w:val="00827DD3"/>
    <w:rsid w:val="00830059"/>
    <w:rsid w:val="0083041D"/>
    <w:rsid w:val="00830698"/>
    <w:rsid w:val="00830A5B"/>
    <w:rsid w:val="0083195A"/>
    <w:rsid w:val="00832562"/>
    <w:rsid w:val="00832851"/>
    <w:rsid w:val="00832B71"/>
    <w:rsid w:val="008335CC"/>
    <w:rsid w:val="00833680"/>
    <w:rsid w:val="00833C50"/>
    <w:rsid w:val="00833F48"/>
    <w:rsid w:val="00834D57"/>
    <w:rsid w:val="00837CDF"/>
    <w:rsid w:val="00837F0E"/>
    <w:rsid w:val="00840916"/>
    <w:rsid w:val="00840DA5"/>
    <w:rsid w:val="008424A1"/>
    <w:rsid w:val="00843F9C"/>
    <w:rsid w:val="008446D6"/>
    <w:rsid w:val="008451E0"/>
    <w:rsid w:val="00845C37"/>
    <w:rsid w:val="00846346"/>
    <w:rsid w:val="008466AA"/>
    <w:rsid w:val="00847D02"/>
    <w:rsid w:val="00850875"/>
    <w:rsid w:val="00851252"/>
    <w:rsid w:val="008513AB"/>
    <w:rsid w:val="008515F4"/>
    <w:rsid w:val="008522FE"/>
    <w:rsid w:val="00852E99"/>
    <w:rsid w:val="00853CAB"/>
    <w:rsid w:val="00854A2E"/>
    <w:rsid w:val="00855444"/>
    <w:rsid w:val="00855979"/>
    <w:rsid w:val="00855B97"/>
    <w:rsid w:val="00856EA7"/>
    <w:rsid w:val="008572B2"/>
    <w:rsid w:val="0086026F"/>
    <w:rsid w:val="008616C1"/>
    <w:rsid w:val="00861B39"/>
    <w:rsid w:val="00861E73"/>
    <w:rsid w:val="00862BBC"/>
    <w:rsid w:val="00862E59"/>
    <w:rsid w:val="00863C20"/>
    <w:rsid w:val="00863CF1"/>
    <w:rsid w:val="00864949"/>
    <w:rsid w:val="00864A43"/>
    <w:rsid w:val="008654CB"/>
    <w:rsid w:val="008662FF"/>
    <w:rsid w:val="00867736"/>
    <w:rsid w:val="008701AF"/>
    <w:rsid w:val="00870AF1"/>
    <w:rsid w:val="00870FE9"/>
    <w:rsid w:val="008718DF"/>
    <w:rsid w:val="00872278"/>
    <w:rsid w:val="00873A54"/>
    <w:rsid w:val="00873D44"/>
    <w:rsid w:val="00873F95"/>
    <w:rsid w:val="0087420C"/>
    <w:rsid w:val="00874894"/>
    <w:rsid w:val="008767CA"/>
    <w:rsid w:val="0087738A"/>
    <w:rsid w:val="0088018C"/>
    <w:rsid w:val="00880907"/>
    <w:rsid w:val="00881959"/>
    <w:rsid w:val="00881971"/>
    <w:rsid w:val="008821BC"/>
    <w:rsid w:val="008826B9"/>
    <w:rsid w:val="00883FC7"/>
    <w:rsid w:val="00885D3B"/>
    <w:rsid w:val="00890002"/>
    <w:rsid w:val="008903D5"/>
    <w:rsid w:val="00890FF1"/>
    <w:rsid w:val="00891DFE"/>
    <w:rsid w:val="00891F0F"/>
    <w:rsid w:val="00892A72"/>
    <w:rsid w:val="00893024"/>
    <w:rsid w:val="008960DB"/>
    <w:rsid w:val="00897D75"/>
    <w:rsid w:val="008A0AC6"/>
    <w:rsid w:val="008A1986"/>
    <w:rsid w:val="008A3103"/>
    <w:rsid w:val="008A71F3"/>
    <w:rsid w:val="008A7A87"/>
    <w:rsid w:val="008B169A"/>
    <w:rsid w:val="008B16D3"/>
    <w:rsid w:val="008B2B2C"/>
    <w:rsid w:val="008B2D6A"/>
    <w:rsid w:val="008B45E3"/>
    <w:rsid w:val="008B49E7"/>
    <w:rsid w:val="008B5CCE"/>
    <w:rsid w:val="008B6266"/>
    <w:rsid w:val="008B69C1"/>
    <w:rsid w:val="008B6AF4"/>
    <w:rsid w:val="008B6B9F"/>
    <w:rsid w:val="008B74B0"/>
    <w:rsid w:val="008B78DF"/>
    <w:rsid w:val="008C033B"/>
    <w:rsid w:val="008C1178"/>
    <w:rsid w:val="008C1280"/>
    <w:rsid w:val="008C1391"/>
    <w:rsid w:val="008C1662"/>
    <w:rsid w:val="008C1BBE"/>
    <w:rsid w:val="008C2F6A"/>
    <w:rsid w:val="008C3B41"/>
    <w:rsid w:val="008C4296"/>
    <w:rsid w:val="008C471D"/>
    <w:rsid w:val="008C62B9"/>
    <w:rsid w:val="008C65AD"/>
    <w:rsid w:val="008C73BE"/>
    <w:rsid w:val="008C76C8"/>
    <w:rsid w:val="008D1D38"/>
    <w:rsid w:val="008D27F5"/>
    <w:rsid w:val="008D36B3"/>
    <w:rsid w:val="008D3EF2"/>
    <w:rsid w:val="008D400D"/>
    <w:rsid w:val="008D444B"/>
    <w:rsid w:val="008D4739"/>
    <w:rsid w:val="008D4831"/>
    <w:rsid w:val="008D53BE"/>
    <w:rsid w:val="008D63F5"/>
    <w:rsid w:val="008D65C4"/>
    <w:rsid w:val="008D6668"/>
    <w:rsid w:val="008E0502"/>
    <w:rsid w:val="008E0555"/>
    <w:rsid w:val="008E14E6"/>
    <w:rsid w:val="008E1635"/>
    <w:rsid w:val="008E2B27"/>
    <w:rsid w:val="008E3A88"/>
    <w:rsid w:val="008E3F09"/>
    <w:rsid w:val="008E3F23"/>
    <w:rsid w:val="008E3F64"/>
    <w:rsid w:val="008E42DA"/>
    <w:rsid w:val="008E5489"/>
    <w:rsid w:val="008E618A"/>
    <w:rsid w:val="008E751B"/>
    <w:rsid w:val="008E7C98"/>
    <w:rsid w:val="008F0012"/>
    <w:rsid w:val="008F0E0E"/>
    <w:rsid w:val="008F1941"/>
    <w:rsid w:val="008F2105"/>
    <w:rsid w:val="008F29B3"/>
    <w:rsid w:val="008F2B03"/>
    <w:rsid w:val="008F36EF"/>
    <w:rsid w:val="008F373A"/>
    <w:rsid w:val="008F3887"/>
    <w:rsid w:val="008F3B13"/>
    <w:rsid w:val="008F597A"/>
    <w:rsid w:val="008F5A4D"/>
    <w:rsid w:val="008F5E5F"/>
    <w:rsid w:val="008F5FFD"/>
    <w:rsid w:val="008F6AD7"/>
    <w:rsid w:val="008F6AE0"/>
    <w:rsid w:val="0090019F"/>
    <w:rsid w:val="009001A7"/>
    <w:rsid w:val="00900309"/>
    <w:rsid w:val="0090080F"/>
    <w:rsid w:val="00900F67"/>
    <w:rsid w:val="009018CB"/>
    <w:rsid w:val="00901F70"/>
    <w:rsid w:val="00903DF9"/>
    <w:rsid w:val="00903ED4"/>
    <w:rsid w:val="00905720"/>
    <w:rsid w:val="00911940"/>
    <w:rsid w:val="00911F95"/>
    <w:rsid w:val="00913096"/>
    <w:rsid w:val="00913E35"/>
    <w:rsid w:val="00913E77"/>
    <w:rsid w:val="009157BC"/>
    <w:rsid w:val="00915A69"/>
    <w:rsid w:val="00915C48"/>
    <w:rsid w:val="009169CA"/>
    <w:rsid w:val="00920194"/>
    <w:rsid w:val="0092047F"/>
    <w:rsid w:val="00920F31"/>
    <w:rsid w:val="00921468"/>
    <w:rsid w:val="00922E6F"/>
    <w:rsid w:val="009234CE"/>
    <w:rsid w:val="009236AC"/>
    <w:rsid w:val="009240B1"/>
    <w:rsid w:val="00924541"/>
    <w:rsid w:val="009262A7"/>
    <w:rsid w:val="00926EED"/>
    <w:rsid w:val="009306BA"/>
    <w:rsid w:val="00931153"/>
    <w:rsid w:val="00931DA6"/>
    <w:rsid w:val="00931F02"/>
    <w:rsid w:val="009322CC"/>
    <w:rsid w:val="00932F8B"/>
    <w:rsid w:val="0093361F"/>
    <w:rsid w:val="00934F70"/>
    <w:rsid w:val="009352DE"/>
    <w:rsid w:val="0093657B"/>
    <w:rsid w:val="00936930"/>
    <w:rsid w:val="00940766"/>
    <w:rsid w:val="0094089F"/>
    <w:rsid w:val="00941A15"/>
    <w:rsid w:val="00944A65"/>
    <w:rsid w:val="00944CD3"/>
    <w:rsid w:val="00944DCC"/>
    <w:rsid w:val="009463E5"/>
    <w:rsid w:val="009478C7"/>
    <w:rsid w:val="00950929"/>
    <w:rsid w:val="00950BDB"/>
    <w:rsid w:val="00951123"/>
    <w:rsid w:val="009521A1"/>
    <w:rsid w:val="00952A3B"/>
    <w:rsid w:val="0095300E"/>
    <w:rsid w:val="0095344E"/>
    <w:rsid w:val="00953541"/>
    <w:rsid w:val="009536FC"/>
    <w:rsid w:val="00954245"/>
    <w:rsid w:val="00954326"/>
    <w:rsid w:val="00955403"/>
    <w:rsid w:val="00955BB7"/>
    <w:rsid w:val="00956F94"/>
    <w:rsid w:val="009574E1"/>
    <w:rsid w:val="0095786B"/>
    <w:rsid w:val="00957E68"/>
    <w:rsid w:val="009621E8"/>
    <w:rsid w:val="0096258E"/>
    <w:rsid w:val="00962B1A"/>
    <w:rsid w:val="00963BCB"/>
    <w:rsid w:val="009649F7"/>
    <w:rsid w:val="009657AE"/>
    <w:rsid w:val="00967C8D"/>
    <w:rsid w:val="00970ADB"/>
    <w:rsid w:val="0097195E"/>
    <w:rsid w:val="00971AD1"/>
    <w:rsid w:val="00971F25"/>
    <w:rsid w:val="00973D2D"/>
    <w:rsid w:val="00975213"/>
    <w:rsid w:val="00975532"/>
    <w:rsid w:val="00976364"/>
    <w:rsid w:val="00976659"/>
    <w:rsid w:val="009774B2"/>
    <w:rsid w:val="009775AB"/>
    <w:rsid w:val="00977B5F"/>
    <w:rsid w:val="00981396"/>
    <w:rsid w:val="009813BD"/>
    <w:rsid w:val="00981DF9"/>
    <w:rsid w:val="009823C1"/>
    <w:rsid w:val="009830E0"/>
    <w:rsid w:val="009838C1"/>
    <w:rsid w:val="00983DCB"/>
    <w:rsid w:val="00983EF8"/>
    <w:rsid w:val="00984E1A"/>
    <w:rsid w:val="00984F32"/>
    <w:rsid w:val="0098522D"/>
    <w:rsid w:val="009852EB"/>
    <w:rsid w:val="009856A2"/>
    <w:rsid w:val="00985D5D"/>
    <w:rsid w:val="009862D5"/>
    <w:rsid w:val="00986539"/>
    <w:rsid w:val="00986931"/>
    <w:rsid w:val="00987580"/>
    <w:rsid w:val="00987CF7"/>
    <w:rsid w:val="009904E2"/>
    <w:rsid w:val="0099088B"/>
    <w:rsid w:val="00990954"/>
    <w:rsid w:val="00991352"/>
    <w:rsid w:val="00991B46"/>
    <w:rsid w:val="0099316F"/>
    <w:rsid w:val="00993271"/>
    <w:rsid w:val="009932F5"/>
    <w:rsid w:val="00994377"/>
    <w:rsid w:val="00995640"/>
    <w:rsid w:val="00995AEC"/>
    <w:rsid w:val="009966BE"/>
    <w:rsid w:val="00996E8A"/>
    <w:rsid w:val="00997415"/>
    <w:rsid w:val="009A0403"/>
    <w:rsid w:val="009A0E08"/>
    <w:rsid w:val="009A1E11"/>
    <w:rsid w:val="009A1FD0"/>
    <w:rsid w:val="009A237E"/>
    <w:rsid w:val="009A2392"/>
    <w:rsid w:val="009A2D05"/>
    <w:rsid w:val="009A4ABF"/>
    <w:rsid w:val="009A53DA"/>
    <w:rsid w:val="009A6157"/>
    <w:rsid w:val="009A63E2"/>
    <w:rsid w:val="009A7D9C"/>
    <w:rsid w:val="009B02C6"/>
    <w:rsid w:val="009B111F"/>
    <w:rsid w:val="009B18E5"/>
    <w:rsid w:val="009B1D29"/>
    <w:rsid w:val="009B1EDA"/>
    <w:rsid w:val="009B1FBA"/>
    <w:rsid w:val="009B2299"/>
    <w:rsid w:val="009B3E5F"/>
    <w:rsid w:val="009B41F1"/>
    <w:rsid w:val="009B6309"/>
    <w:rsid w:val="009B68C7"/>
    <w:rsid w:val="009B69CC"/>
    <w:rsid w:val="009B70AF"/>
    <w:rsid w:val="009B797E"/>
    <w:rsid w:val="009B7F98"/>
    <w:rsid w:val="009C0F1C"/>
    <w:rsid w:val="009C3341"/>
    <w:rsid w:val="009C528A"/>
    <w:rsid w:val="009C5312"/>
    <w:rsid w:val="009C5DB2"/>
    <w:rsid w:val="009C5F3C"/>
    <w:rsid w:val="009C671E"/>
    <w:rsid w:val="009C67EF"/>
    <w:rsid w:val="009D015D"/>
    <w:rsid w:val="009D035A"/>
    <w:rsid w:val="009D0C1D"/>
    <w:rsid w:val="009D0C6F"/>
    <w:rsid w:val="009D2BD9"/>
    <w:rsid w:val="009D3AFF"/>
    <w:rsid w:val="009D3B9A"/>
    <w:rsid w:val="009D3E71"/>
    <w:rsid w:val="009D474C"/>
    <w:rsid w:val="009D5A47"/>
    <w:rsid w:val="009D5B9E"/>
    <w:rsid w:val="009D6650"/>
    <w:rsid w:val="009D6720"/>
    <w:rsid w:val="009D6E8E"/>
    <w:rsid w:val="009D70DC"/>
    <w:rsid w:val="009D7773"/>
    <w:rsid w:val="009D78BD"/>
    <w:rsid w:val="009D799C"/>
    <w:rsid w:val="009D79C7"/>
    <w:rsid w:val="009E06D4"/>
    <w:rsid w:val="009E2CB4"/>
    <w:rsid w:val="009E35BD"/>
    <w:rsid w:val="009E4839"/>
    <w:rsid w:val="009E686B"/>
    <w:rsid w:val="009F04FC"/>
    <w:rsid w:val="009F0B05"/>
    <w:rsid w:val="009F328B"/>
    <w:rsid w:val="009F3934"/>
    <w:rsid w:val="009F4822"/>
    <w:rsid w:val="009F4B70"/>
    <w:rsid w:val="009F5049"/>
    <w:rsid w:val="009F6BEC"/>
    <w:rsid w:val="009F6D44"/>
    <w:rsid w:val="009F79D2"/>
    <w:rsid w:val="009F7B32"/>
    <w:rsid w:val="00A00276"/>
    <w:rsid w:val="00A002F8"/>
    <w:rsid w:val="00A01F71"/>
    <w:rsid w:val="00A0220D"/>
    <w:rsid w:val="00A0475B"/>
    <w:rsid w:val="00A05297"/>
    <w:rsid w:val="00A10374"/>
    <w:rsid w:val="00A103D5"/>
    <w:rsid w:val="00A1154D"/>
    <w:rsid w:val="00A117FC"/>
    <w:rsid w:val="00A12A67"/>
    <w:rsid w:val="00A1400F"/>
    <w:rsid w:val="00A14746"/>
    <w:rsid w:val="00A15418"/>
    <w:rsid w:val="00A15A69"/>
    <w:rsid w:val="00A16A43"/>
    <w:rsid w:val="00A2131C"/>
    <w:rsid w:val="00A21E5F"/>
    <w:rsid w:val="00A21EF2"/>
    <w:rsid w:val="00A225D9"/>
    <w:rsid w:val="00A23D3D"/>
    <w:rsid w:val="00A25267"/>
    <w:rsid w:val="00A2794F"/>
    <w:rsid w:val="00A314C4"/>
    <w:rsid w:val="00A317B9"/>
    <w:rsid w:val="00A323A2"/>
    <w:rsid w:val="00A33AC0"/>
    <w:rsid w:val="00A33DD2"/>
    <w:rsid w:val="00A34391"/>
    <w:rsid w:val="00A3487F"/>
    <w:rsid w:val="00A34B16"/>
    <w:rsid w:val="00A353D4"/>
    <w:rsid w:val="00A35771"/>
    <w:rsid w:val="00A3584C"/>
    <w:rsid w:val="00A3782D"/>
    <w:rsid w:val="00A37D44"/>
    <w:rsid w:val="00A37F5F"/>
    <w:rsid w:val="00A40544"/>
    <w:rsid w:val="00A407D8"/>
    <w:rsid w:val="00A41297"/>
    <w:rsid w:val="00A4162B"/>
    <w:rsid w:val="00A418CC"/>
    <w:rsid w:val="00A41AF6"/>
    <w:rsid w:val="00A4233D"/>
    <w:rsid w:val="00A4355B"/>
    <w:rsid w:val="00A44A82"/>
    <w:rsid w:val="00A44A98"/>
    <w:rsid w:val="00A46C5E"/>
    <w:rsid w:val="00A51413"/>
    <w:rsid w:val="00A51EAF"/>
    <w:rsid w:val="00A52674"/>
    <w:rsid w:val="00A54C96"/>
    <w:rsid w:val="00A54CE7"/>
    <w:rsid w:val="00A5522C"/>
    <w:rsid w:val="00A55810"/>
    <w:rsid w:val="00A55CDF"/>
    <w:rsid w:val="00A574BC"/>
    <w:rsid w:val="00A57EE5"/>
    <w:rsid w:val="00A60765"/>
    <w:rsid w:val="00A60A1F"/>
    <w:rsid w:val="00A615AC"/>
    <w:rsid w:val="00A622D6"/>
    <w:rsid w:val="00A628DA"/>
    <w:rsid w:val="00A62AEC"/>
    <w:rsid w:val="00A62E01"/>
    <w:rsid w:val="00A654D5"/>
    <w:rsid w:val="00A6662F"/>
    <w:rsid w:val="00A678E1"/>
    <w:rsid w:val="00A70514"/>
    <w:rsid w:val="00A70A90"/>
    <w:rsid w:val="00A70E56"/>
    <w:rsid w:val="00A71249"/>
    <w:rsid w:val="00A737AE"/>
    <w:rsid w:val="00A73C85"/>
    <w:rsid w:val="00A7486F"/>
    <w:rsid w:val="00A750BA"/>
    <w:rsid w:val="00A752B7"/>
    <w:rsid w:val="00A75CA6"/>
    <w:rsid w:val="00A76380"/>
    <w:rsid w:val="00A77B0F"/>
    <w:rsid w:val="00A77D7C"/>
    <w:rsid w:val="00A813EA"/>
    <w:rsid w:val="00A822D9"/>
    <w:rsid w:val="00A82A36"/>
    <w:rsid w:val="00A836CB"/>
    <w:rsid w:val="00A83C7F"/>
    <w:rsid w:val="00A84246"/>
    <w:rsid w:val="00A84700"/>
    <w:rsid w:val="00A8498E"/>
    <w:rsid w:val="00A84A03"/>
    <w:rsid w:val="00A86796"/>
    <w:rsid w:val="00A9022F"/>
    <w:rsid w:val="00A90E58"/>
    <w:rsid w:val="00A92683"/>
    <w:rsid w:val="00A93599"/>
    <w:rsid w:val="00A93D77"/>
    <w:rsid w:val="00A948DD"/>
    <w:rsid w:val="00A94B95"/>
    <w:rsid w:val="00A9518E"/>
    <w:rsid w:val="00A9593B"/>
    <w:rsid w:val="00A95C5A"/>
    <w:rsid w:val="00A961F1"/>
    <w:rsid w:val="00A96CCF"/>
    <w:rsid w:val="00A9727D"/>
    <w:rsid w:val="00A97292"/>
    <w:rsid w:val="00A97922"/>
    <w:rsid w:val="00AA1B91"/>
    <w:rsid w:val="00AA1F38"/>
    <w:rsid w:val="00AA2061"/>
    <w:rsid w:val="00AA22E7"/>
    <w:rsid w:val="00AA2B49"/>
    <w:rsid w:val="00AA2D03"/>
    <w:rsid w:val="00AA341B"/>
    <w:rsid w:val="00AA534E"/>
    <w:rsid w:val="00AA59DA"/>
    <w:rsid w:val="00AA69D1"/>
    <w:rsid w:val="00AB05EC"/>
    <w:rsid w:val="00AB0DDD"/>
    <w:rsid w:val="00AB1EBD"/>
    <w:rsid w:val="00AB3111"/>
    <w:rsid w:val="00AB3A84"/>
    <w:rsid w:val="00AB3BB1"/>
    <w:rsid w:val="00AB436A"/>
    <w:rsid w:val="00AB4A47"/>
    <w:rsid w:val="00AB5A82"/>
    <w:rsid w:val="00AB5D61"/>
    <w:rsid w:val="00AB641C"/>
    <w:rsid w:val="00AB6637"/>
    <w:rsid w:val="00AB68D0"/>
    <w:rsid w:val="00AB71D9"/>
    <w:rsid w:val="00AB7745"/>
    <w:rsid w:val="00AB7853"/>
    <w:rsid w:val="00AB79F9"/>
    <w:rsid w:val="00AC1ECA"/>
    <w:rsid w:val="00AC2594"/>
    <w:rsid w:val="00AC41A3"/>
    <w:rsid w:val="00AC4481"/>
    <w:rsid w:val="00AC4947"/>
    <w:rsid w:val="00AC52A5"/>
    <w:rsid w:val="00AC58BC"/>
    <w:rsid w:val="00AC7868"/>
    <w:rsid w:val="00AD0EC5"/>
    <w:rsid w:val="00AD0F12"/>
    <w:rsid w:val="00AD1724"/>
    <w:rsid w:val="00AD2866"/>
    <w:rsid w:val="00AD2C92"/>
    <w:rsid w:val="00AD2E3E"/>
    <w:rsid w:val="00AD315F"/>
    <w:rsid w:val="00AD3C2C"/>
    <w:rsid w:val="00AD4C2A"/>
    <w:rsid w:val="00AD4F0F"/>
    <w:rsid w:val="00AD512B"/>
    <w:rsid w:val="00AD570E"/>
    <w:rsid w:val="00AD7232"/>
    <w:rsid w:val="00AE196D"/>
    <w:rsid w:val="00AE1C21"/>
    <w:rsid w:val="00AE1EFE"/>
    <w:rsid w:val="00AE2E93"/>
    <w:rsid w:val="00AE2F5B"/>
    <w:rsid w:val="00AE43BD"/>
    <w:rsid w:val="00AE5F33"/>
    <w:rsid w:val="00AF04A9"/>
    <w:rsid w:val="00AF0B51"/>
    <w:rsid w:val="00AF0E34"/>
    <w:rsid w:val="00AF14E8"/>
    <w:rsid w:val="00AF1F33"/>
    <w:rsid w:val="00AF24EC"/>
    <w:rsid w:val="00AF2905"/>
    <w:rsid w:val="00AF2DF2"/>
    <w:rsid w:val="00AF438F"/>
    <w:rsid w:val="00AF4760"/>
    <w:rsid w:val="00AF56FB"/>
    <w:rsid w:val="00AF6534"/>
    <w:rsid w:val="00AF6554"/>
    <w:rsid w:val="00AF6564"/>
    <w:rsid w:val="00B00412"/>
    <w:rsid w:val="00B006ED"/>
    <w:rsid w:val="00B0081B"/>
    <w:rsid w:val="00B02099"/>
    <w:rsid w:val="00B022DD"/>
    <w:rsid w:val="00B031F7"/>
    <w:rsid w:val="00B03570"/>
    <w:rsid w:val="00B04140"/>
    <w:rsid w:val="00B04A28"/>
    <w:rsid w:val="00B06CE2"/>
    <w:rsid w:val="00B07651"/>
    <w:rsid w:val="00B1146D"/>
    <w:rsid w:val="00B11FBC"/>
    <w:rsid w:val="00B125FB"/>
    <w:rsid w:val="00B159FE"/>
    <w:rsid w:val="00B15C41"/>
    <w:rsid w:val="00B1761E"/>
    <w:rsid w:val="00B17650"/>
    <w:rsid w:val="00B17681"/>
    <w:rsid w:val="00B214D2"/>
    <w:rsid w:val="00B2198C"/>
    <w:rsid w:val="00B21E1F"/>
    <w:rsid w:val="00B24289"/>
    <w:rsid w:val="00B265E0"/>
    <w:rsid w:val="00B2661A"/>
    <w:rsid w:val="00B26805"/>
    <w:rsid w:val="00B26C9A"/>
    <w:rsid w:val="00B27634"/>
    <w:rsid w:val="00B27DEB"/>
    <w:rsid w:val="00B30A5E"/>
    <w:rsid w:val="00B30AB5"/>
    <w:rsid w:val="00B316BE"/>
    <w:rsid w:val="00B31FB5"/>
    <w:rsid w:val="00B327AE"/>
    <w:rsid w:val="00B33350"/>
    <w:rsid w:val="00B33532"/>
    <w:rsid w:val="00B33605"/>
    <w:rsid w:val="00B35321"/>
    <w:rsid w:val="00B361BF"/>
    <w:rsid w:val="00B3683B"/>
    <w:rsid w:val="00B3799A"/>
    <w:rsid w:val="00B41019"/>
    <w:rsid w:val="00B41A7E"/>
    <w:rsid w:val="00B4319E"/>
    <w:rsid w:val="00B43286"/>
    <w:rsid w:val="00B43BD0"/>
    <w:rsid w:val="00B43CD5"/>
    <w:rsid w:val="00B44311"/>
    <w:rsid w:val="00B4434F"/>
    <w:rsid w:val="00B44C06"/>
    <w:rsid w:val="00B4683E"/>
    <w:rsid w:val="00B4687F"/>
    <w:rsid w:val="00B477F3"/>
    <w:rsid w:val="00B50199"/>
    <w:rsid w:val="00B50524"/>
    <w:rsid w:val="00B52C0A"/>
    <w:rsid w:val="00B545E5"/>
    <w:rsid w:val="00B5471F"/>
    <w:rsid w:val="00B551AD"/>
    <w:rsid w:val="00B56002"/>
    <w:rsid w:val="00B566A9"/>
    <w:rsid w:val="00B56CB1"/>
    <w:rsid w:val="00B60E66"/>
    <w:rsid w:val="00B6157C"/>
    <w:rsid w:val="00B61754"/>
    <w:rsid w:val="00B62120"/>
    <w:rsid w:val="00B6229B"/>
    <w:rsid w:val="00B631E7"/>
    <w:rsid w:val="00B64C7F"/>
    <w:rsid w:val="00B65342"/>
    <w:rsid w:val="00B66803"/>
    <w:rsid w:val="00B66BF2"/>
    <w:rsid w:val="00B6731E"/>
    <w:rsid w:val="00B700E0"/>
    <w:rsid w:val="00B70616"/>
    <w:rsid w:val="00B70C22"/>
    <w:rsid w:val="00B70DEB"/>
    <w:rsid w:val="00B70F38"/>
    <w:rsid w:val="00B71770"/>
    <w:rsid w:val="00B72F47"/>
    <w:rsid w:val="00B76814"/>
    <w:rsid w:val="00B76D94"/>
    <w:rsid w:val="00B77592"/>
    <w:rsid w:val="00B77D47"/>
    <w:rsid w:val="00B812CA"/>
    <w:rsid w:val="00B81D82"/>
    <w:rsid w:val="00B83C7C"/>
    <w:rsid w:val="00B8553B"/>
    <w:rsid w:val="00B90166"/>
    <w:rsid w:val="00B90A15"/>
    <w:rsid w:val="00B90E74"/>
    <w:rsid w:val="00B90FA9"/>
    <w:rsid w:val="00B92703"/>
    <w:rsid w:val="00B928F8"/>
    <w:rsid w:val="00B931C8"/>
    <w:rsid w:val="00B96BBB"/>
    <w:rsid w:val="00B97022"/>
    <w:rsid w:val="00B974CD"/>
    <w:rsid w:val="00BA0213"/>
    <w:rsid w:val="00BA036D"/>
    <w:rsid w:val="00BA0622"/>
    <w:rsid w:val="00BA0A04"/>
    <w:rsid w:val="00BA1B78"/>
    <w:rsid w:val="00BA2C3F"/>
    <w:rsid w:val="00BA2CD0"/>
    <w:rsid w:val="00BA4BD5"/>
    <w:rsid w:val="00BA6139"/>
    <w:rsid w:val="00BA6F68"/>
    <w:rsid w:val="00BA7096"/>
    <w:rsid w:val="00BA7162"/>
    <w:rsid w:val="00BA790F"/>
    <w:rsid w:val="00BA79C8"/>
    <w:rsid w:val="00BB0548"/>
    <w:rsid w:val="00BB2A92"/>
    <w:rsid w:val="00BB3CB7"/>
    <w:rsid w:val="00BB44C0"/>
    <w:rsid w:val="00BB6644"/>
    <w:rsid w:val="00BB75B6"/>
    <w:rsid w:val="00BC1DD1"/>
    <w:rsid w:val="00BC1F3D"/>
    <w:rsid w:val="00BC23CE"/>
    <w:rsid w:val="00BC310D"/>
    <w:rsid w:val="00BC3D98"/>
    <w:rsid w:val="00BC44C7"/>
    <w:rsid w:val="00BC46ED"/>
    <w:rsid w:val="00BC48BF"/>
    <w:rsid w:val="00BC55DE"/>
    <w:rsid w:val="00BC698A"/>
    <w:rsid w:val="00BC6E97"/>
    <w:rsid w:val="00BC706D"/>
    <w:rsid w:val="00BC707A"/>
    <w:rsid w:val="00BC71F1"/>
    <w:rsid w:val="00BD0343"/>
    <w:rsid w:val="00BD1853"/>
    <w:rsid w:val="00BD1CEA"/>
    <w:rsid w:val="00BD2102"/>
    <w:rsid w:val="00BD2424"/>
    <w:rsid w:val="00BD2D85"/>
    <w:rsid w:val="00BD3D03"/>
    <w:rsid w:val="00BD58B7"/>
    <w:rsid w:val="00BD5B44"/>
    <w:rsid w:val="00BD604F"/>
    <w:rsid w:val="00BD60EB"/>
    <w:rsid w:val="00BD645A"/>
    <w:rsid w:val="00BD7F39"/>
    <w:rsid w:val="00BE1AA9"/>
    <w:rsid w:val="00BE23C1"/>
    <w:rsid w:val="00BE31C8"/>
    <w:rsid w:val="00BE4530"/>
    <w:rsid w:val="00BE530F"/>
    <w:rsid w:val="00BE563E"/>
    <w:rsid w:val="00BE6CB2"/>
    <w:rsid w:val="00BE78DF"/>
    <w:rsid w:val="00BF1107"/>
    <w:rsid w:val="00BF1274"/>
    <w:rsid w:val="00BF1441"/>
    <w:rsid w:val="00BF55BA"/>
    <w:rsid w:val="00BF5D87"/>
    <w:rsid w:val="00BF7EB2"/>
    <w:rsid w:val="00C0084E"/>
    <w:rsid w:val="00C03FD9"/>
    <w:rsid w:val="00C058D3"/>
    <w:rsid w:val="00C06191"/>
    <w:rsid w:val="00C062DA"/>
    <w:rsid w:val="00C064A9"/>
    <w:rsid w:val="00C1090A"/>
    <w:rsid w:val="00C10E6D"/>
    <w:rsid w:val="00C10EC4"/>
    <w:rsid w:val="00C11815"/>
    <w:rsid w:val="00C130F9"/>
    <w:rsid w:val="00C13252"/>
    <w:rsid w:val="00C135B0"/>
    <w:rsid w:val="00C13ADE"/>
    <w:rsid w:val="00C14293"/>
    <w:rsid w:val="00C14348"/>
    <w:rsid w:val="00C14505"/>
    <w:rsid w:val="00C1466A"/>
    <w:rsid w:val="00C151BA"/>
    <w:rsid w:val="00C16269"/>
    <w:rsid w:val="00C1640C"/>
    <w:rsid w:val="00C1728C"/>
    <w:rsid w:val="00C17DFD"/>
    <w:rsid w:val="00C17E40"/>
    <w:rsid w:val="00C17EB9"/>
    <w:rsid w:val="00C207CA"/>
    <w:rsid w:val="00C21881"/>
    <w:rsid w:val="00C22FDA"/>
    <w:rsid w:val="00C2447B"/>
    <w:rsid w:val="00C2470A"/>
    <w:rsid w:val="00C25095"/>
    <w:rsid w:val="00C258DB"/>
    <w:rsid w:val="00C273F9"/>
    <w:rsid w:val="00C31A83"/>
    <w:rsid w:val="00C31DA6"/>
    <w:rsid w:val="00C326BA"/>
    <w:rsid w:val="00C326D6"/>
    <w:rsid w:val="00C3283A"/>
    <w:rsid w:val="00C32AEF"/>
    <w:rsid w:val="00C32FCA"/>
    <w:rsid w:val="00C33718"/>
    <w:rsid w:val="00C34264"/>
    <w:rsid w:val="00C34C59"/>
    <w:rsid w:val="00C351F4"/>
    <w:rsid w:val="00C35303"/>
    <w:rsid w:val="00C35792"/>
    <w:rsid w:val="00C35E9C"/>
    <w:rsid w:val="00C362DD"/>
    <w:rsid w:val="00C3726A"/>
    <w:rsid w:val="00C3734A"/>
    <w:rsid w:val="00C37437"/>
    <w:rsid w:val="00C37DAC"/>
    <w:rsid w:val="00C41532"/>
    <w:rsid w:val="00C42E64"/>
    <w:rsid w:val="00C4355B"/>
    <w:rsid w:val="00C43F56"/>
    <w:rsid w:val="00C44233"/>
    <w:rsid w:val="00C44EFB"/>
    <w:rsid w:val="00C4623E"/>
    <w:rsid w:val="00C474C5"/>
    <w:rsid w:val="00C479E8"/>
    <w:rsid w:val="00C47AB4"/>
    <w:rsid w:val="00C47C31"/>
    <w:rsid w:val="00C502EA"/>
    <w:rsid w:val="00C50651"/>
    <w:rsid w:val="00C508E7"/>
    <w:rsid w:val="00C50E27"/>
    <w:rsid w:val="00C52042"/>
    <w:rsid w:val="00C52709"/>
    <w:rsid w:val="00C52D31"/>
    <w:rsid w:val="00C52EDF"/>
    <w:rsid w:val="00C533BB"/>
    <w:rsid w:val="00C535F5"/>
    <w:rsid w:val="00C55637"/>
    <w:rsid w:val="00C55C00"/>
    <w:rsid w:val="00C566DF"/>
    <w:rsid w:val="00C5687D"/>
    <w:rsid w:val="00C57EE7"/>
    <w:rsid w:val="00C61DBB"/>
    <w:rsid w:val="00C627F9"/>
    <w:rsid w:val="00C62CDC"/>
    <w:rsid w:val="00C63F0C"/>
    <w:rsid w:val="00C655A8"/>
    <w:rsid w:val="00C66F1E"/>
    <w:rsid w:val="00C671A0"/>
    <w:rsid w:val="00C67BDE"/>
    <w:rsid w:val="00C70257"/>
    <w:rsid w:val="00C704BA"/>
    <w:rsid w:val="00C706AC"/>
    <w:rsid w:val="00C72827"/>
    <w:rsid w:val="00C736F4"/>
    <w:rsid w:val="00C74B1C"/>
    <w:rsid w:val="00C75747"/>
    <w:rsid w:val="00C760DD"/>
    <w:rsid w:val="00C7661A"/>
    <w:rsid w:val="00C807A4"/>
    <w:rsid w:val="00C81E3C"/>
    <w:rsid w:val="00C820C5"/>
    <w:rsid w:val="00C820C7"/>
    <w:rsid w:val="00C82E40"/>
    <w:rsid w:val="00C837AB"/>
    <w:rsid w:val="00C84E1F"/>
    <w:rsid w:val="00C85E8E"/>
    <w:rsid w:val="00C863EA"/>
    <w:rsid w:val="00C87D85"/>
    <w:rsid w:val="00C904E2"/>
    <w:rsid w:val="00C90F50"/>
    <w:rsid w:val="00C91728"/>
    <w:rsid w:val="00C91ECA"/>
    <w:rsid w:val="00C92B34"/>
    <w:rsid w:val="00C92E6F"/>
    <w:rsid w:val="00C933AC"/>
    <w:rsid w:val="00C93F27"/>
    <w:rsid w:val="00C93FED"/>
    <w:rsid w:val="00C94068"/>
    <w:rsid w:val="00C9576A"/>
    <w:rsid w:val="00C95FB0"/>
    <w:rsid w:val="00C96249"/>
    <w:rsid w:val="00C96BAF"/>
    <w:rsid w:val="00C96C8D"/>
    <w:rsid w:val="00C97B69"/>
    <w:rsid w:val="00C97DCD"/>
    <w:rsid w:val="00CA0FB8"/>
    <w:rsid w:val="00CA1520"/>
    <w:rsid w:val="00CA1B07"/>
    <w:rsid w:val="00CA2182"/>
    <w:rsid w:val="00CA2657"/>
    <w:rsid w:val="00CA37AE"/>
    <w:rsid w:val="00CA6BDB"/>
    <w:rsid w:val="00CA6D2A"/>
    <w:rsid w:val="00CA77F4"/>
    <w:rsid w:val="00CA7FCD"/>
    <w:rsid w:val="00CB0DA8"/>
    <w:rsid w:val="00CB1116"/>
    <w:rsid w:val="00CB22E4"/>
    <w:rsid w:val="00CB3146"/>
    <w:rsid w:val="00CB3F9E"/>
    <w:rsid w:val="00CB4470"/>
    <w:rsid w:val="00CB65FD"/>
    <w:rsid w:val="00CB7B7E"/>
    <w:rsid w:val="00CC1AC6"/>
    <w:rsid w:val="00CC1ADE"/>
    <w:rsid w:val="00CC229D"/>
    <w:rsid w:val="00CC4E60"/>
    <w:rsid w:val="00CC516D"/>
    <w:rsid w:val="00CC66D8"/>
    <w:rsid w:val="00CC729C"/>
    <w:rsid w:val="00CC752C"/>
    <w:rsid w:val="00CD0C5D"/>
    <w:rsid w:val="00CD1296"/>
    <w:rsid w:val="00CD15C3"/>
    <w:rsid w:val="00CD1D12"/>
    <w:rsid w:val="00CD2016"/>
    <w:rsid w:val="00CD2480"/>
    <w:rsid w:val="00CD3928"/>
    <w:rsid w:val="00CD3EE1"/>
    <w:rsid w:val="00CD4894"/>
    <w:rsid w:val="00CD5A5D"/>
    <w:rsid w:val="00CD73A0"/>
    <w:rsid w:val="00CE0D13"/>
    <w:rsid w:val="00CE1525"/>
    <w:rsid w:val="00CE1642"/>
    <w:rsid w:val="00CE1AAE"/>
    <w:rsid w:val="00CE1B37"/>
    <w:rsid w:val="00CE4794"/>
    <w:rsid w:val="00CE66BB"/>
    <w:rsid w:val="00CF105F"/>
    <w:rsid w:val="00CF10E8"/>
    <w:rsid w:val="00CF205B"/>
    <w:rsid w:val="00CF2381"/>
    <w:rsid w:val="00CF2C67"/>
    <w:rsid w:val="00CF2E3C"/>
    <w:rsid w:val="00CF30A4"/>
    <w:rsid w:val="00CF4E16"/>
    <w:rsid w:val="00CF73C2"/>
    <w:rsid w:val="00D006FB"/>
    <w:rsid w:val="00D01771"/>
    <w:rsid w:val="00D017B4"/>
    <w:rsid w:val="00D01A3C"/>
    <w:rsid w:val="00D02705"/>
    <w:rsid w:val="00D05516"/>
    <w:rsid w:val="00D05C34"/>
    <w:rsid w:val="00D075DF"/>
    <w:rsid w:val="00D118B7"/>
    <w:rsid w:val="00D11F6A"/>
    <w:rsid w:val="00D12045"/>
    <w:rsid w:val="00D12C09"/>
    <w:rsid w:val="00D142C6"/>
    <w:rsid w:val="00D148B5"/>
    <w:rsid w:val="00D16A9B"/>
    <w:rsid w:val="00D179F1"/>
    <w:rsid w:val="00D20411"/>
    <w:rsid w:val="00D227F3"/>
    <w:rsid w:val="00D2440E"/>
    <w:rsid w:val="00D265DA"/>
    <w:rsid w:val="00D30041"/>
    <w:rsid w:val="00D30477"/>
    <w:rsid w:val="00D31001"/>
    <w:rsid w:val="00D3158F"/>
    <w:rsid w:val="00D32ACA"/>
    <w:rsid w:val="00D32D31"/>
    <w:rsid w:val="00D3344C"/>
    <w:rsid w:val="00D33C2F"/>
    <w:rsid w:val="00D34881"/>
    <w:rsid w:val="00D35CAC"/>
    <w:rsid w:val="00D4098C"/>
    <w:rsid w:val="00D40E23"/>
    <w:rsid w:val="00D4192F"/>
    <w:rsid w:val="00D42498"/>
    <w:rsid w:val="00D4271C"/>
    <w:rsid w:val="00D4318B"/>
    <w:rsid w:val="00D4386B"/>
    <w:rsid w:val="00D44E78"/>
    <w:rsid w:val="00D44EB1"/>
    <w:rsid w:val="00D456F0"/>
    <w:rsid w:val="00D46B7D"/>
    <w:rsid w:val="00D47352"/>
    <w:rsid w:val="00D47E7F"/>
    <w:rsid w:val="00D502BA"/>
    <w:rsid w:val="00D50923"/>
    <w:rsid w:val="00D50A45"/>
    <w:rsid w:val="00D50BB1"/>
    <w:rsid w:val="00D51987"/>
    <w:rsid w:val="00D536CD"/>
    <w:rsid w:val="00D53EEA"/>
    <w:rsid w:val="00D54484"/>
    <w:rsid w:val="00D56ABE"/>
    <w:rsid w:val="00D575E9"/>
    <w:rsid w:val="00D57754"/>
    <w:rsid w:val="00D6177D"/>
    <w:rsid w:val="00D62081"/>
    <w:rsid w:val="00D62EB0"/>
    <w:rsid w:val="00D63633"/>
    <w:rsid w:val="00D63E4D"/>
    <w:rsid w:val="00D6446E"/>
    <w:rsid w:val="00D64B69"/>
    <w:rsid w:val="00D64E4F"/>
    <w:rsid w:val="00D67E45"/>
    <w:rsid w:val="00D707ED"/>
    <w:rsid w:val="00D70BC4"/>
    <w:rsid w:val="00D714F3"/>
    <w:rsid w:val="00D730AB"/>
    <w:rsid w:val="00D73417"/>
    <w:rsid w:val="00D74959"/>
    <w:rsid w:val="00D74CA3"/>
    <w:rsid w:val="00D74F57"/>
    <w:rsid w:val="00D76804"/>
    <w:rsid w:val="00D77104"/>
    <w:rsid w:val="00D80654"/>
    <w:rsid w:val="00D8101C"/>
    <w:rsid w:val="00D814B9"/>
    <w:rsid w:val="00D82483"/>
    <w:rsid w:val="00D8312D"/>
    <w:rsid w:val="00D8382D"/>
    <w:rsid w:val="00D85A2D"/>
    <w:rsid w:val="00D85AF6"/>
    <w:rsid w:val="00D866B1"/>
    <w:rsid w:val="00D86AA4"/>
    <w:rsid w:val="00D87056"/>
    <w:rsid w:val="00D87365"/>
    <w:rsid w:val="00D87FC4"/>
    <w:rsid w:val="00D92122"/>
    <w:rsid w:val="00D93968"/>
    <w:rsid w:val="00D94E79"/>
    <w:rsid w:val="00DA04A5"/>
    <w:rsid w:val="00DA06BE"/>
    <w:rsid w:val="00DA07DC"/>
    <w:rsid w:val="00DA0F26"/>
    <w:rsid w:val="00DA17A5"/>
    <w:rsid w:val="00DA2282"/>
    <w:rsid w:val="00DA321D"/>
    <w:rsid w:val="00DA3F9E"/>
    <w:rsid w:val="00DA457D"/>
    <w:rsid w:val="00DA5522"/>
    <w:rsid w:val="00DA6850"/>
    <w:rsid w:val="00DA76EB"/>
    <w:rsid w:val="00DA7FAF"/>
    <w:rsid w:val="00DB0695"/>
    <w:rsid w:val="00DB07E2"/>
    <w:rsid w:val="00DB263D"/>
    <w:rsid w:val="00DB3B8A"/>
    <w:rsid w:val="00DB4FF0"/>
    <w:rsid w:val="00DB5110"/>
    <w:rsid w:val="00DB5A8A"/>
    <w:rsid w:val="00DB67AE"/>
    <w:rsid w:val="00DB6992"/>
    <w:rsid w:val="00DB6A74"/>
    <w:rsid w:val="00DB6F42"/>
    <w:rsid w:val="00DB7976"/>
    <w:rsid w:val="00DC0468"/>
    <w:rsid w:val="00DC0885"/>
    <w:rsid w:val="00DC174E"/>
    <w:rsid w:val="00DC18F2"/>
    <w:rsid w:val="00DC34AF"/>
    <w:rsid w:val="00DC37E3"/>
    <w:rsid w:val="00DC5078"/>
    <w:rsid w:val="00DC57FD"/>
    <w:rsid w:val="00DC6154"/>
    <w:rsid w:val="00DC7094"/>
    <w:rsid w:val="00DD03E6"/>
    <w:rsid w:val="00DD050E"/>
    <w:rsid w:val="00DD0584"/>
    <w:rsid w:val="00DD0BAA"/>
    <w:rsid w:val="00DD0DAE"/>
    <w:rsid w:val="00DD0F35"/>
    <w:rsid w:val="00DD265B"/>
    <w:rsid w:val="00DD3491"/>
    <w:rsid w:val="00DD477F"/>
    <w:rsid w:val="00DD6142"/>
    <w:rsid w:val="00DD6A60"/>
    <w:rsid w:val="00DD6C64"/>
    <w:rsid w:val="00DD6D8D"/>
    <w:rsid w:val="00DD7476"/>
    <w:rsid w:val="00DE0385"/>
    <w:rsid w:val="00DE0CE1"/>
    <w:rsid w:val="00DE0DEB"/>
    <w:rsid w:val="00DE24BA"/>
    <w:rsid w:val="00DE3269"/>
    <w:rsid w:val="00DE3D91"/>
    <w:rsid w:val="00DE3F75"/>
    <w:rsid w:val="00DE3FD6"/>
    <w:rsid w:val="00DE45B6"/>
    <w:rsid w:val="00DE4B5F"/>
    <w:rsid w:val="00DE5106"/>
    <w:rsid w:val="00DE56D7"/>
    <w:rsid w:val="00DE57EC"/>
    <w:rsid w:val="00DE5A05"/>
    <w:rsid w:val="00DE5EB2"/>
    <w:rsid w:val="00DE7387"/>
    <w:rsid w:val="00DF0EC3"/>
    <w:rsid w:val="00DF0EC9"/>
    <w:rsid w:val="00DF1CF0"/>
    <w:rsid w:val="00DF2673"/>
    <w:rsid w:val="00DF2738"/>
    <w:rsid w:val="00DF28C9"/>
    <w:rsid w:val="00DF2C98"/>
    <w:rsid w:val="00DF3FC9"/>
    <w:rsid w:val="00DF43D2"/>
    <w:rsid w:val="00DF4486"/>
    <w:rsid w:val="00DF49A1"/>
    <w:rsid w:val="00DF519B"/>
    <w:rsid w:val="00DF5428"/>
    <w:rsid w:val="00DF5A5E"/>
    <w:rsid w:val="00DF5AEA"/>
    <w:rsid w:val="00DF688E"/>
    <w:rsid w:val="00DF6BC6"/>
    <w:rsid w:val="00DF6E35"/>
    <w:rsid w:val="00DF7A01"/>
    <w:rsid w:val="00DF7C59"/>
    <w:rsid w:val="00DF7D1E"/>
    <w:rsid w:val="00DF7EF5"/>
    <w:rsid w:val="00E01D63"/>
    <w:rsid w:val="00E03E56"/>
    <w:rsid w:val="00E045FE"/>
    <w:rsid w:val="00E05714"/>
    <w:rsid w:val="00E06305"/>
    <w:rsid w:val="00E066A8"/>
    <w:rsid w:val="00E0782E"/>
    <w:rsid w:val="00E10189"/>
    <w:rsid w:val="00E101B2"/>
    <w:rsid w:val="00E1072B"/>
    <w:rsid w:val="00E11D69"/>
    <w:rsid w:val="00E12112"/>
    <w:rsid w:val="00E125D2"/>
    <w:rsid w:val="00E12F26"/>
    <w:rsid w:val="00E13C5C"/>
    <w:rsid w:val="00E13E47"/>
    <w:rsid w:val="00E14A85"/>
    <w:rsid w:val="00E14C66"/>
    <w:rsid w:val="00E15039"/>
    <w:rsid w:val="00E151BE"/>
    <w:rsid w:val="00E157D0"/>
    <w:rsid w:val="00E15AA7"/>
    <w:rsid w:val="00E17F08"/>
    <w:rsid w:val="00E209C6"/>
    <w:rsid w:val="00E21FB4"/>
    <w:rsid w:val="00E2205A"/>
    <w:rsid w:val="00E22136"/>
    <w:rsid w:val="00E226F9"/>
    <w:rsid w:val="00E23F19"/>
    <w:rsid w:val="00E24C7C"/>
    <w:rsid w:val="00E2549B"/>
    <w:rsid w:val="00E26AE4"/>
    <w:rsid w:val="00E26CDA"/>
    <w:rsid w:val="00E270FD"/>
    <w:rsid w:val="00E30996"/>
    <w:rsid w:val="00E313C4"/>
    <w:rsid w:val="00E31929"/>
    <w:rsid w:val="00E32080"/>
    <w:rsid w:val="00E3278B"/>
    <w:rsid w:val="00E3353E"/>
    <w:rsid w:val="00E33F30"/>
    <w:rsid w:val="00E35375"/>
    <w:rsid w:val="00E35C88"/>
    <w:rsid w:val="00E36669"/>
    <w:rsid w:val="00E36F25"/>
    <w:rsid w:val="00E37436"/>
    <w:rsid w:val="00E378DD"/>
    <w:rsid w:val="00E37EDC"/>
    <w:rsid w:val="00E40F80"/>
    <w:rsid w:val="00E40FEF"/>
    <w:rsid w:val="00E4132A"/>
    <w:rsid w:val="00E42B54"/>
    <w:rsid w:val="00E42D3B"/>
    <w:rsid w:val="00E43445"/>
    <w:rsid w:val="00E43942"/>
    <w:rsid w:val="00E448DD"/>
    <w:rsid w:val="00E44F01"/>
    <w:rsid w:val="00E45260"/>
    <w:rsid w:val="00E463DE"/>
    <w:rsid w:val="00E46D69"/>
    <w:rsid w:val="00E47D5B"/>
    <w:rsid w:val="00E47F8C"/>
    <w:rsid w:val="00E50164"/>
    <w:rsid w:val="00E51F70"/>
    <w:rsid w:val="00E52611"/>
    <w:rsid w:val="00E5282E"/>
    <w:rsid w:val="00E53DD6"/>
    <w:rsid w:val="00E5504C"/>
    <w:rsid w:val="00E55B1F"/>
    <w:rsid w:val="00E56C05"/>
    <w:rsid w:val="00E56F80"/>
    <w:rsid w:val="00E56FA6"/>
    <w:rsid w:val="00E605A2"/>
    <w:rsid w:val="00E62432"/>
    <w:rsid w:val="00E627E7"/>
    <w:rsid w:val="00E63E0E"/>
    <w:rsid w:val="00E65E7A"/>
    <w:rsid w:val="00E660CD"/>
    <w:rsid w:val="00E66371"/>
    <w:rsid w:val="00E66684"/>
    <w:rsid w:val="00E6708C"/>
    <w:rsid w:val="00E676C9"/>
    <w:rsid w:val="00E67CBC"/>
    <w:rsid w:val="00E708E2"/>
    <w:rsid w:val="00E708E6"/>
    <w:rsid w:val="00E70DE7"/>
    <w:rsid w:val="00E71CD9"/>
    <w:rsid w:val="00E72332"/>
    <w:rsid w:val="00E72598"/>
    <w:rsid w:val="00E72F32"/>
    <w:rsid w:val="00E74120"/>
    <w:rsid w:val="00E75060"/>
    <w:rsid w:val="00E751C6"/>
    <w:rsid w:val="00E75D5D"/>
    <w:rsid w:val="00E75EDD"/>
    <w:rsid w:val="00E768DB"/>
    <w:rsid w:val="00E76A9B"/>
    <w:rsid w:val="00E76F71"/>
    <w:rsid w:val="00E77322"/>
    <w:rsid w:val="00E80140"/>
    <w:rsid w:val="00E80675"/>
    <w:rsid w:val="00E81746"/>
    <w:rsid w:val="00E8212E"/>
    <w:rsid w:val="00E82A00"/>
    <w:rsid w:val="00E82A97"/>
    <w:rsid w:val="00E82DFD"/>
    <w:rsid w:val="00E837C8"/>
    <w:rsid w:val="00E863C0"/>
    <w:rsid w:val="00E86A96"/>
    <w:rsid w:val="00E86C9E"/>
    <w:rsid w:val="00E8710B"/>
    <w:rsid w:val="00E87D0D"/>
    <w:rsid w:val="00E90C4D"/>
    <w:rsid w:val="00E91323"/>
    <w:rsid w:val="00E92203"/>
    <w:rsid w:val="00E92795"/>
    <w:rsid w:val="00E9581C"/>
    <w:rsid w:val="00E96FD2"/>
    <w:rsid w:val="00E975AD"/>
    <w:rsid w:val="00EA2135"/>
    <w:rsid w:val="00EA55D5"/>
    <w:rsid w:val="00EA63BC"/>
    <w:rsid w:val="00EA6C33"/>
    <w:rsid w:val="00EA717B"/>
    <w:rsid w:val="00EB0865"/>
    <w:rsid w:val="00EB1BE3"/>
    <w:rsid w:val="00EB24AE"/>
    <w:rsid w:val="00EB3A9A"/>
    <w:rsid w:val="00EB3ED0"/>
    <w:rsid w:val="00EB3FCC"/>
    <w:rsid w:val="00EB65BA"/>
    <w:rsid w:val="00EB6AF6"/>
    <w:rsid w:val="00EB72B5"/>
    <w:rsid w:val="00EB76F1"/>
    <w:rsid w:val="00EC067A"/>
    <w:rsid w:val="00EC0E36"/>
    <w:rsid w:val="00EC14E2"/>
    <w:rsid w:val="00EC160A"/>
    <w:rsid w:val="00EC2913"/>
    <w:rsid w:val="00EC4368"/>
    <w:rsid w:val="00EC46AB"/>
    <w:rsid w:val="00EC5F98"/>
    <w:rsid w:val="00EC6E16"/>
    <w:rsid w:val="00EC743D"/>
    <w:rsid w:val="00EC74DD"/>
    <w:rsid w:val="00EC79A4"/>
    <w:rsid w:val="00ED0B42"/>
    <w:rsid w:val="00ED2376"/>
    <w:rsid w:val="00ED33A4"/>
    <w:rsid w:val="00ED4B5D"/>
    <w:rsid w:val="00ED6D86"/>
    <w:rsid w:val="00ED72F5"/>
    <w:rsid w:val="00ED7DC9"/>
    <w:rsid w:val="00ED7EC3"/>
    <w:rsid w:val="00EE0AE9"/>
    <w:rsid w:val="00EE1B69"/>
    <w:rsid w:val="00EE2387"/>
    <w:rsid w:val="00EE268F"/>
    <w:rsid w:val="00EE2C11"/>
    <w:rsid w:val="00EE3C27"/>
    <w:rsid w:val="00EE4541"/>
    <w:rsid w:val="00EE4ED4"/>
    <w:rsid w:val="00EE527D"/>
    <w:rsid w:val="00EE5E19"/>
    <w:rsid w:val="00EE64EA"/>
    <w:rsid w:val="00EE761E"/>
    <w:rsid w:val="00EE79A1"/>
    <w:rsid w:val="00EF0C1E"/>
    <w:rsid w:val="00EF198F"/>
    <w:rsid w:val="00EF2EA9"/>
    <w:rsid w:val="00EF4550"/>
    <w:rsid w:val="00EF5572"/>
    <w:rsid w:val="00EF584E"/>
    <w:rsid w:val="00EF6591"/>
    <w:rsid w:val="00EF66C6"/>
    <w:rsid w:val="00EF6D84"/>
    <w:rsid w:val="00F0023C"/>
    <w:rsid w:val="00F01338"/>
    <w:rsid w:val="00F015FB"/>
    <w:rsid w:val="00F02265"/>
    <w:rsid w:val="00F022B8"/>
    <w:rsid w:val="00F03BFF"/>
    <w:rsid w:val="00F047B1"/>
    <w:rsid w:val="00F04DFF"/>
    <w:rsid w:val="00F05F9C"/>
    <w:rsid w:val="00F06731"/>
    <w:rsid w:val="00F07D9F"/>
    <w:rsid w:val="00F108DB"/>
    <w:rsid w:val="00F10A9A"/>
    <w:rsid w:val="00F10B32"/>
    <w:rsid w:val="00F114E1"/>
    <w:rsid w:val="00F11DEA"/>
    <w:rsid w:val="00F11FA8"/>
    <w:rsid w:val="00F128D7"/>
    <w:rsid w:val="00F12EF5"/>
    <w:rsid w:val="00F13399"/>
    <w:rsid w:val="00F13DD0"/>
    <w:rsid w:val="00F14BC8"/>
    <w:rsid w:val="00F158A3"/>
    <w:rsid w:val="00F15959"/>
    <w:rsid w:val="00F1626E"/>
    <w:rsid w:val="00F1679B"/>
    <w:rsid w:val="00F16EEA"/>
    <w:rsid w:val="00F200E7"/>
    <w:rsid w:val="00F20D62"/>
    <w:rsid w:val="00F210A0"/>
    <w:rsid w:val="00F233CA"/>
    <w:rsid w:val="00F23D2F"/>
    <w:rsid w:val="00F23ECE"/>
    <w:rsid w:val="00F25157"/>
    <w:rsid w:val="00F25611"/>
    <w:rsid w:val="00F25DDB"/>
    <w:rsid w:val="00F271C2"/>
    <w:rsid w:val="00F27966"/>
    <w:rsid w:val="00F30CA2"/>
    <w:rsid w:val="00F30FD8"/>
    <w:rsid w:val="00F31ED0"/>
    <w:rsid w:val="00F32419"/>
    <w:rsid w:val="00F33421"/>
    <w:rsid w:val="00F34F7D"/>
    <w:rsid w:val="00F34FF1"/>
    <w:rsid w:val="00F3622A"/>
    <w:rsid w:val="00F36A20"/>
    <w:rsid w:val="00F36A58"/>
    <w:rsid w:val="00F36BD1"/>
    <w:rsid w:val="00F37BF5"/>
    <w:rsid w:val="00F40166"/>
    <w:rsid w:val="00F409F5"/>
    <w:rsid w:val="00F40E56"/>
    <w:rsid w:val="00F411B9"/>
    <w:rsid w:val="00F41BDC"/>
    <w:rsid w:val="00F41D13"/>
    <w:rsid w:val="00F421FA"/>
    <w:rsid w:val="00F42285"/>
    <w:rsid w:val="00F42C00"/>
    <w:rsid w:val="00F42DAC"/>
    <w:rsid w:val="00F43098"/>
    <w:rsid w:val="00F44798"/>
    <w:rsid w:val="00F46504"/>
    <w:rsid w:val="00F4687E"/>
    <w:rsid w:val="00F47166"/>
    <w:rsid w:val="00F47640"/>
    <w:rsid w:val="00F50801"/>
    <w:rsid w:val="00F51390"/>
    <w:rsid w:val="00F52DB0"/>
    <w:rsid w:val="00F53034"/>
    <w:rsid w:val="00F530FF"/>
    <w:rsid w:val="00F5325F"/>
    <w:rsid w:val="00F536BA"/>
    <w:rsid w:val="00F5379E"/>
    <w:rsid w:val="00F538DA"/>
    <w:rsid w:val="00F53C56"/>
    <w:rsid w:val="00F54172"/>
    <w:rsid w:val="00F54782"/>
    <w:rsid w:val="00F55A2A"/>
    <w:rsid w:val="00F55F42"/>
    <w:rsid w:val="00F57D37"/>
    <w:rsid w:val="00F602CF"/>
    <w:rsid w:val="00F6059D"/>
    <w:rsid w:val="00F60F52"/>
    <w:rsid w:val="00F632A6"/>
    <w:rsid w:val="00F647AC"/>
    <w:rsid w:val="00F650EA"/>
    <w:rsid w:val="00F66439"/>
    <w:rsid w:val="00F671BC"/>
    <w:rsid w:val="00F67BB1"/>
    <w:rsid w:val="00F702D6"/>
    <w:rsid w:val="00F70B7D"/>
    <w:rsid w:val="00F719CB"/>
    <w:rsid w:val="00F71E27"/>
    <w:rsid w:val="00F7485D"/>
    <w:rsid w:val="00F75E52"/>
    <w:rsid w:val="00F764B5"/>
    <w:rsid w:val="00F76676"/>
    <w:rsid w:val="00F76BE8"/>
    <w:rsid w:val="00F77489"/>
    <w:rsid w:val="00F777B6"/>
    <w:rsid w:val="00F80742"/>
    <w:rsid w:val="00F81897"/>
    <w:rsid w:val="00F81C1B"/>
    <w:rsid w:val="00F81DE3"/>
    <w:rsid w:val="00F81FF5"/>
    <w:rsid w:val="00F82869"/>
    <w:rsid w:val="00F83826"/>
    <w:rsid w:val="00F83A20"/>
    <w:rsid w:val="00F83A71"/>
    <w:rsid w:val="00F83AD5"/>
    <w:rsid w:val="00F84118"/>
    <w:rsid w:val="00F845AD"/>
    <w:rsid w:val="00F856C6"/>
    <w:rsid w:val="00F8664D"/>
    <w:rsid w:val="00F867CA"/>
    <w:rsid w:val="00F86BCC"/>
    <w:rsid w:val="00F875A5"/>
    <w:rsid w:val="00F902C0"/>
    <w:rsid w:val="00F90314"/>
    <w:rsid w:val="00F92438"/>
    <w:rsid w:val="00F92B21"/>
    <w:rsid w:val="00F9383E"/>
    <w:rsid w:val="00F93AD1"/>
    <w:rsid w:val="00F94E0C"/>
    <w:rsid w:val="00F95634"/>
    <w:rsid w:val="00F95834"/>
    <w:rsid w:val="00F95E73"/>
    <w:rsid w:val="00F9767D"/>
    <w:rsid w:val="00F97695"/>
    <w:rsid w:val="00FA00C0"/>
    <w:rsid w:val="00FA021D"/>
    <w:rsid w:val="00FA030C"/>
    <w:rsid w:val="00FA049C"/>
    <w:rsid w:val="00FA0A39"/>
    <w:rsid w:val="00FA150F"/>
    <w:rsid w:val="00FA1FA0"/>
    <w:rsid w:val="00FA2CC2"/>
    <w:rsid w:val="00FA3B9D"/>
    <w:rsid w:val="00FA492A"/>
    <w:rsid w:val="00FA4F2B"/>
    <w:rsid w:val="00FA5943"/>
    <w:rsid w:val="00FA67D6"/>
    <w:rsid w:val="00FA7FE6"/>
    <w:rsid w:val="00FB0085"/>
    <w:rsid w:val="00FB0D3B"/>
    <w:rsid w:val="00FB0D3F"/>
    <w:rsid w:val="00FB1F35"/>
    <w:rsid w:val="00FB1FAB"/>
    <w:rsid w:val="00FB3476"/>
    <w:rsid w:val="00FB38B9"/>
    <w:rsid w:val="00FB3BF5"/>
    <w:rsid w:val="00FB4B53"/>
    <w:rsid w:val="00FB618F"/>
    <w:rsid w:val="00FB662F"/>
    <w:rsid w:val="00FB72D0"/>
    <w:rsid w:val="00FC0D2B"/>
    <w:rsid w:val="00FC1249"/>
    <w:rsid w:val="00FC2EBD"/>
    <w:rsid w:val="00FC3116"/>
    <w:rsid w:val="00FC56F1"/>
    <w:rsid w:val="00FC5D9D"/>
    <w:rsid w:val="00FC7D45"/>
    <w:rsid w:val="00FD0CEE"/>
    <w:rsid w:val="00FD1EBA"/>
    <w:rsid w:val="00FD2122"/>
    <w:rsid w:val="00FD292D"/>
    <w:rsid w:val="00FD2D02"/>
    <w:rsid w:val="00FD3782"/>
    <w:rsid w:val="00FD5157"/>
    <w:rsid w:val="00FD64F6"/>
    <w:rsid w:val="00FD6ADD"/>
    <w:rsid w:val="00FD6D58"/>
    <w:rsid w:val="00FE030D"/>
    <w:rsid w:val="00FE100C"/>
    <w:rsid w:val="00FE233C"/>
    <w:rsid w:val="00FE2915"/>
    <w:rsid w:val="00FE2D27"/>
    <w:rsid w:val="00FE3042"/>
    <w:rsid w:val="00FE3AD9"/>
    <w:rsid w:val="00FE5015"/>
    <w:rsid w:val="00FE6D76"/>
    <w:rsid w:val="00FE750F"/>
    <w:rsid w:val="00FF0007"/>
    <w:rsid w:val="00FF00B3"/>
    <w:rsid w:val="00FF12E8"/>
    <w:rsid w:val="00FF147A"/>
    <w:rsid w:val="00FF1960"/>
    <w:rsid w:val="00FF2863"/>
    <w:rsid w:val="00FF317D"/>
    <w:rsid w:val="00FF393B"/>
    <w:rsid w:val="00FF3A15"/>
    <w:rsid w:val="00FF3E74"/>
    <w:rsid w:val="00FF44CB"/>
    <w:rsid w:val="00FF46EE"/>
    <w:rsid w:val="00FF4818"/>
    <w:rsid w:val="00FF6796"/>
    <w:rsid w:val="00FF706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9"/>
    <o:shapelayout v:ext="edit">
      <o:idmap v:ext="edit" data="1"/>
    </o:shapelayout>
  </w:shapeDefaults>
  <w:decimalSymbol w:val=","/>
  <w:listSeparator w:val=";"/>
  <w15:docId w15:val="{5D70D948-2691-4C62-99E4-D0967B8B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5B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76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07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07651"/>
    <w:pPr>
      <w:keepNext/>
      <w:spacing w:before="60" w:after="60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07651"/>
    <w:pPr>
      <w:keepNext/>
      <w:spacing w:before="60" w:after="60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07651"/>
    <w:pPr>
      <w:keepNext/>
      <w:spacing w:after="120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07651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1E7E6F"/>
    <w:pPr>
      <w:keepNext/>
      <w:spacing w:before="60" w:after="60"/>
      <w:outlineLvl w:val="6"/>
    </w:pPr>
    <w:rPr>
      <w:rFonts w:eastAsia="MS Mincho"/>
      <w:bCs/>
      <w:i/>
      <w:iCs/>
      <w:sz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1E7E6F"/>
    <w:pPr>
      <w:keepNext/>
      <w:spacing w:before="60" w:after="60"/>
      <w:jc w:val="center"/>
      <w:outlineLvl w:val="7"/>
    </w:pPr>
    <w:rPr>
      <w:rFonts w:eastAsia="MS Mincho"/>
      <w:b/>
      <w:bCs/>
      <w:sz w:val="20"/>
      <w:lang w:val="en-GB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076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E326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E326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E326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E3269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E3269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E3269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1E7E6F"/>
    <w:rPr>
      <w:rFonts w:eastAsia="MS Mincho" w:cs="Times New Roman"/>
      <w:bCs/>
      <w:i/>
      <w:i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1E7E6F"/>
    <w:rPr>
      <w:rFonts w:eastAsia="MS Mincho" w:cs="Times New Roman"/>
      <w:b/>
      <w:bCs/>
      <w:sz w:val="24"/>
      <w:szCs w:val="24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DE3269"/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rsid w:val="00B076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E3269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B07651"/>
    <w:pPr>
      <w:ind w:firstLine="567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E326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07651"/>
    <w:pPr>
      <w:spacing w:after="120"/>
      <w:jc w:val="both"/>
    </w:pPr>
    <w:rPr>
      <w:sz w:val="26"/>
      <w:szCs w:val="2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E326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B07651"/>
    <w:pPr>
      <w:spacing w:after="120"/>
      <w:jc w:val="both"/>
    </w:pPr>
    <w:rPr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9740D"/>
    <w:rPr>
      <w:rFonts w:cs="Times New Roman"/>
      <w:sz w:val="24"/>
      <w:szCs w:val="24"/>
    </w:rPr>
  </w:style>
  <w:style w:type="paragraph" w:styleId="Corpotesto">
    <w:name w:val="Body Text"/>
    <w:aliases w:val="Normale bis,Standard paragraph,bt,ATitolo2"/>
    <w:basedOn w:val="Normale"/>
    <w:link w:val="CorpotestoCarattere"/>
    <w:uiPriority w:val="99"/>
    <w:rsid w:val="00B07651"/>
    <w:pPr>
      <w:spacing w:after="120"/>
      <w:jc w:val="both"/>
    </w:pPr>
    <w:rPr>
      <w:sz w:val="20"/>
      <w:szCs w:val="20"/>
    </w:rPr>
  </w:style>
  <w:style w:type="character" w:customStyle="1" w:styleId="CorpotestoCarattere">
    <w:name w:val="Corpo testo Carattere"/>
    <w:aliases w:val="Normale bis Carattere,Standard paragraph Carattere,bt Carattere,ATitolo2 Carattere"/>
    <w:basedOn w:val="Carpredefinitoparagrafo"/>
    <w:link w:val="Corpotesto"/>
    <w:uiPriority w:val="99"/>
    <w:locked/>
    <w:rsid w:val="00DE3269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B07651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B07651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07651"/>
    <w:pPr>
      <w:tabs>
        <w:tab w:val="left" w:pos="1276"/>
      </w:tabs>
      <w:suppressAutoHyphens/>
      <w:jc w:val="both"/>
    </w:pPr>
    <w:rPr>
      <w:lang w:eastAsia="ar-SA"/>
    </w:rPr>
  </w:style>
  <w:style w:type="character" w:styleId="Enfasicorsivo">
    <w:name w:val="Emphasis"/>
    <w:basedOn w:val="Carpredefinitoparagrafo"/>
    <w:uiPriority w:val="99"/>
    <w:qFormat/>
    <w:rsid w:val="00B07651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B07651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B076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11FB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07651"/>
    <w:rPr>
      <w:rFonts w:cs="Times New Roman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B07651"/>
    <w:rPr>
      <w:sz w:val="20"/>
      <w:szCs w:val="20"/>
    </w:rPr>
  </w:style>
  <w:style w:type="character" w:customStyle="1" w:styleId="FootnoteTextChar1">
    <w:name w:val="Footnote Text Char1"/>
    <w:aliases w:val="Footnote Text Char Char"/>
    <w:basedOn w:val="Carpredefinitoparagrafo"/>
    <w:uiPriority w:val="99"/>
    <w:semiHidden/>
    <w:locked/>
    <w:rsid w:val="00DB6992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semiHidden/>
    <w:locked/>
    <w:rsid w:val="0019740D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B07651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rsid w:val="00B0765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DE3269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DA04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ontemporanea">
    <w:name w:val="Table Contemporary"/>
    <w:basedOn w:val="Tabellanormale"/>
    <w:uiPriority w:val="99"/>
    <w:rsid w:val="0093361F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foelenco1">
    <w:name w:val="Paragrafo elenco1"/>
    <w:basedOn w:val="Normale"/>
    <w:uiPriority w:val="99"/>
    <w:rsid w:val="00B125FB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4E58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E585C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99"/>
    <w:qFormat/>
    <w:rsid w:val="004E585C"/>
    <w:rPr>
      <w:rFonts w:ascii="Calibri" w:hAnsi="Calibri" w:cs="Calibri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4E585C"/>
    <w:rPr>
      <w:rFonts w:ascii="Calibri" w:hAnsi="Calibri" w:cs="Calibri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99"/>
    <w:qFormat/>
    <w:rsid w:val="00FB1F35"/>
    <w:pPr>
      <w:ind w:left="720"/>
    </w:pPr>
  </w:style>
  <w:style w:type="paragraph" w:customStyle="1" w:styleId="Default">
    <w:name w:val="Default"/>
    <w:uiPriority w:val="99"/>
    <w:rsid w:val="00D33C2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Grigliamedia2-Colore1">
    <w:name w:val="Medium Grid 2 Accent 1"/>
    <w:basedOn w:val="Tabellanormale"/>
    <w:uiPriority w:val="99"/>
    <w:rsid w:val="00CF2381"/>
    <w:rPr>
      <w:rFonts w:ascii="Lucida Sans Unicode" w:hAnsi="Lucida Sans Unicode" w:cs="Lucida Sans Unicode"/>
      <w:color w:val="000000"/>
      <w:sz w:val="20"/>
      <w:szCs w:val="20"/>
    </w:rPr>
    <w:tblPr>
      <w:tblStyleRowBandSize w:val="1"/>
      <w:tblStyleColBandSize w:val="1"/>
      <w:tblBorders>
        <w:top w:val="single" w:sz="8" w:space="0" w:color="2DA2BF"/>
        <w:left w:val="single" w:sz="8" w:space="0" w:color="2DA2BF"/>
        <w:bottom w:val="single" w:sz="8" w:space="0" w:color="2DA2BF"/>
        <w:right w:val="single" w:sz="8" w:space="0" w:color="2DA2BF"/>
        <w:insideH w:val="single" w:sz="8" w:space="0" w:color="2DA2BF"/>
        <w:insideV w:val="single" w:sz="8" w:space="0" w:color="2DA2BF"/>
      </w:tblBorders>
    </w:tblPr>
    <w:tcPr>
      <w:shd w:val="clear" w:color="auto" w:fill="C7E9F2"/>
    </w:tcPr>
    <w:tblStylePr w:type="firstRow">
      <w:rPr>
        <w:rFonts w:cs="Lucida Sans Unicode"/>
        <w:b/>
        <w:bCs/>
        <w:color w:val="000000"/>
      </w:rPr>
      <w:tblPr/>
      <w:tcPr>
        <w:shd w:val="clear" w:color="auto" w:fill="E9F6FA"/>
      </w:tcPr>
    </w:tblStylePr>
    <w:tblStylePr w:type="lastRow">
      <w:rPr>
        <w:rFonts w:cs="Lucida Sans Unicode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4"/>
      </w:tcPr>
    </w:tblStylePr>
    <w:tblStylePr w:type="band1Vert">
      <w:rPr>
        <w:rFonts w:cs="Lucida Sans Unicode"/>
      </w:rPr>
      <w:tblPr/>
      <w:tcPr>
        <w:shd w:val="clear" w:color="auto" w:fill="90D4E5"/>
      </w:tcPr>
    </w:tblStylePr>
    <w:tblStylePr w:type="band1Horz">
      <w:rPr>
        <w:rFonts w:cs="Lucida Sans Unicode"/>
      </w:rPr>
      <w:tblPr/>
      <w:tcPr>
        <w:tcBorders>
          <w:insideH w:val="single" w:sz="6" w:space="0" w:color="2DA2BF"/>
          <w:insideV w:val="single" w:sz="6" w:space="0" w:color="2DA2BF"/>
        </w:tcBorders>
        <w:shd w:val="clear" w:color="auto" w:fill="90D4E5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</w:style>
  <w:style w:type="table" w:customStyle="1" w:styleId="Sfondochiaro-Colore11">
    <w:name w:val="Sfondo chiaro - Colore 11"/>
    <w:uiPriority w:val="99"/>
    <w:rsid w:val="00CF2381"/>
    <w:rPr>
      <w:color w:val="21798E"/>
      <w:sz w:val="20"/>
      <w:szCs w:val="20"/>
    </w:rPr>
    <w:tblPr>
      <w:tblStyleRowBandSize w:val="1"/>
      <w:tblStyleColBandSize w:val="1"/>
      <w:tblBorders>
        <w:top w:val="single" w:sz="8" w:space="0" w:color="2DA2BF"/>
        <w:bottom w:val="single" w:sz="8" w:space="0" w:color="2DA2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chiara-Colore11">
    <w:name w:val="Griglia chiara - Colore 11"/>
    <w:uiPriority w:val="99"/>
    <w:rsid w:val="00CF2381"/>
    <w:rPr>
      <w:sz w:val="20"/>
      <w:szCs w:val="20"/>
    </w:rPr>
    <w:tblPr>
      <w:tblStyleRowBandSize w:val="1"/>
      <w:tblStyleColBandSize w:val="1"/>
      <w:tblBorders>
        <w:top w:val="single" w:sz="8" w:space="0" w:color="2DA2BF"/>
        <w:left w:val="single" w:sz="8" w:space="0" w:color="2DA2BF"/>
        <w:bottom w:val="single" w:sz="8" w:space="0" w:color="2DA2BF"/>
        <w:right w:val="single" w:sz="8" w:space="0" w:color="2DA2BF"/>
        <w:insideH w:val="single" w:sz="8" w:space="0" w:color="2DA2BF"/>
        <w:insideV w:val="single" w:sz="8" w:space="0" w:color="2DA2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1"/>
    <w:basedOn w:val="Normale"/>
    <w:uiPriority w:val="99"/>
    <w:rsid w:val="00EA717B"/>
    <w:pPr>
      <w:spacing w:before="100" w:beforeAutospacing="1" w:after="100" w:afterAutospacing="1"/>
    </w:pPr>
    <w:rPr>
      <w:rFonts w:ascii="Arial" w:hAnsi="Arial" w:cs="Arial"/>
      <w:color w:val="666666"/>
    </w:rPr>
  </w:style>
  <w:style w:type="table" w:styleId="Grigliamedia3-Colore6">
    <w:name w:val="Medium Grid 3 Accent 6"/>
    <w:basedOn w:val="Tabellanormale"/>
    <w:uiPriority w:val="99"/>
    <w:rsid w:val="00C22FDA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5C8C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3C4A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3C4A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D3C4A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D3C4A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919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919D"/>
      </w:tcPr>
    </w:tblStylePr>
  </w:style>
  <w:style w:type="table" w:styleId="Grigliamedia2-Colore6">
    <w:name w:val="Medium Grid 2 Accent 6"/>
    <w:basedOn w:val="Tabellanormale"/>
    <w:uiPriority w:val="99"/>
    <w:rsid w:val="00C22FDA"/>
    <w:rPr>
      <w:rFonts w:ascii="Lucida Sans Unicode" w:hAnsi="Lucida Sans Unicode" w:cs="Lucida Sans Unicode"/>
      <w:color w:val="000000"/>
      <w:sz w:val="20"/>
      <w:szCs w:val="20"/>
    </w:rPr>
    <w:tblPr>
      <w:tblStyleRowBandSize w:val="1"/>
      <w:tblStyleColBandSize w:val="1"/>
      <w:tblBorders>
        <w:top w:val="single" w:sz="8" w:space="0" w:color="7D3C4A"/>
        <w:left w:val="single" w:sz="8" w:space="0" w:color="7D3C4A"/>
        <w:bottom w:val="single" w:sz="8" w:space="0" w:color="7D3C4A"/>
        <w:right w:val="single" w:sz="8" w:space="0" w:color="7D3C4A"/>
        <w:insideH w:val="single" w:sz="8" w:space="0" w:color="7D3C4A"/>
        <w:insideV w:val="single" w:sz="8" w:space="0" w:color="7D3C4A"/>
      </w:tblBorders>
    </w:tblPr>
    <w:tcPr>
      <w:shd w:val="clear" w:color="auto" w:fill="E5C8CE"/>
    </w:tcPr>
    <w:tblStylePr w:type="firstRow">
      <w:rPr>
        <w:rFonts w:cs="Lucida Sans Unicode"/>
        <w:b/>
        <w:bCs/>
        <w:color w:val="000000"/>
      </w:rPr>
      <w:tblPr/>
      <w:tcPr>
        <w:shd w:val="clear" w:color="auto" w:fill="F4E9EB"/>
      </w:tcPr>
    </w:tblStylePr>
    <w:tblStylePr w:type="lastRow">
      <w:rPr>
        <w:rFonts w:cs="Lucida Sans Unicode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3D7"/>
      </w:tcPr>
    </w:tblStylePr>
    <w:tblStylePr w:type="band1Vert">
      <w:rPr>
        <w:rFonts w:cs="Lucida Sans Unicode"/>
      </w:rPr>
      <w:tblPr/>
      <w:tcPr>
        <w:shd w:val="clear" w:color="auto" w:fill="CA919D"/>
      </w:tcPr>
    </w:tblStylePr>
    <w:tblStylePr w:type="band1Horz">
      <w:rPr>
        <w:rFonts w:cs="Lucida Sans Unicode"/>
      </w:rPr>
      <w:tblPr/>
      <w:tcPr>
        <w:tcBorders>
          <w:insideH w:val="single" w:sz="6" w:space="0" w:color="7D3C4A"/>
          <w:insideV w:val="single" w:sz="6" w:space="0" w:color="7D3C4A"/>
        </w:tcBorders>
        <w:shd w:val="clear" w:color="auto" w:fill="CA919D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</w:style>
  <w:style w:type="table" w:styleId="Grigliaacolori-Colore6">
    <w:name w:val="Colorful Grid Accent 6"/>
    <w:basedOn w:val="Tabellanormale"/>
    <w:uiPriority w:val="99"/>
    <w:rsid w:val="00C22FDA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D3D7"/>
    </w:tcPr>
    <w:tblStylePr w:type="firstRow">
      <w:rPr>
        <w:rFonts w:cs="Times New Roman"/>
        <w:b/>
        <w:bCs/>
      </w:rPr>
      <w:tblPr/>
      <w:tcPr>
        <w:shd w:val="clear" w:color="auto" w:fill="D4A7B0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4A7B0"/>
      </w:tcPr>
    </w:tblStylePr>
    <w:tblStylePr w:type="firstCol">
      <w:rPr>
        <w:rFonts w:cs="Times New Roman"/>
        <w:color w:val="FFFFFF"/>
      </w:rPr>
      <w:tblPr/>
      <w:tcPr>
        <w:shd w:val="clear" w:color="auto" w:fill="5D2D37"/>
      </w:tcPr>
    </w:tblStylePr>
    <w:tblStylePr w:type="lastCol">
      <w:rPr>
        <w:rFonts w:cs="Times New Roman"/>
        <w:color w:val="FFFFFF"/>
      </w:rPr>
      <w:tblPr/>
      <w:tcPr>
        <w:shd w:val="clear" w:color="auto" w:fill="5D2D37"/>
      </w:tcPr>
    </w:tblStylePr>
    <w:tblStylePr w:type="band1Vert">
      <w:rPr>
        <w:rFonts w:cs="Times New Roman"/>
      </w:rPr>
      <w:tblPr/>
      <w:tcPr>
        <w:shd w:val="clear" w:color="auto" w:fill="CA919D"/>
      </w:tcPr>
    </w:tblStylePr>
    <w:tblStylePr w:type="band1Horz">
      <w:rPr>
        <w:rFonts w:cs="Times New Roman"/>
      </w:rPr>
      <w:tblPr/>
      <w:tcPr>
        <w:shd w:val="clear" w:color="auto" w:fill="CA919D"/>
      </w:tcPr>
    </w:tblStylePr>
  </w:style>
  <w:style w:type="table" w:styleId="Sfondochiaro-Colore6">
    <w:name w:val="Light Shading Accent 6"/>
    <w:basedOn w:val="Tabellanormale"/>
    <w:uiPriority w:val="99"/>
    <w:rsid w:val="00BA2CD0"/>
    <w:rPr>
      <w:color w:val="5D2D37"/>
      <w:sz w:val="20"/>
      <w:szCs w:val="20"/>
    </w:rPr>
    <w:tblPr>
      <w:tblStyleRowBandSize w:val="1"/>
      <w:tblStyleColBandSize w:val="1"/>
      <w:tblBorders>
        <w:top w:val="single" w:sz="8" w:space="0" w:color="7D3C4A"/>
        <w:bottom w:val="single" w:sz="8" w:space="0" w:color="7D3C4A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D3C4A"/>
          <w:left w:val="nil"/>
          <w:bottom w:val="single" w:sz="8" w:space="0" w:color="7D3C4A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D3C4A"/>
          <w:left w:val="nil"/>
          <w:bottom w:val="single" w:sz="8" w:space="0" w:color="7D3C4A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C8C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C8CE"/>
      </w:tcPr>
    </w:tblStylePr>
  </w:style>
  <w:style w:type="table" w:styleId="Elencomedio1-Colore6">
    <w:name w:val="Medium List 1 Accent 6"/>
    <w:basedOn w:val="Tabellanormale"/>
    <w:uiPriority w:val="99"/>
    <w:rsid w:val="00BA2CD0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7D3C4A"/>
        <w:bottom w:val="single" w:sz="8" w:space="0" w:color="7D3C4A"/>
      </w:tblBorders>
    </w:tblPr>
    <w:tblStylePr w:type="firstRow">
      <w:rPr>
        <w:rFonts w:ascii="Lucida Sans Unicode" w:eastAsia="Times New Roman" w:hAnsi="Lucida Sans Unicode" w:cs="Lucida Sans Unicode"/>
      </w:rPr>
      <w:tblPr/>
      <w:tcPr>
        <w:tcBorders>
          <w:top w:val="nil"/>
          <w:bottom w:val="single" w:sz="8" w:space="0" w:color="7D3C4A"/>
        </w:tcBorders>
      </w:tcPr>
    </w:tblStylePr>
    <w:tblStylePr w:type="lastRow">
      <w:rPr>
        <w:rFonts w:cs="Times New Roman"/>
        <w:b/>
        <w:bCs/>
        <w:color w:val="464646"/>
      </w:rPr>
      <w:tblPr/>
      <w:tcPr>
        <w:tcBorders>
          <w:top w:val="single" w:sz="8" w:space="0" w:color="7D3C4A"/>
          <w:bottom w:val="single" w:sz="8" w:space="0" w:color="7D3C4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7D3C4A"/>
          <w:bottom w:val="single" w:sz="8" w:space="0" w:color="7D3C4A"/>
        </w:tcBorders>
      </w:tcPr>
    </w:tblStylePr>
    <w:tblStylePr w:type="band1Vert">
      <w:rPr>
        <w:rFonts w:cs="Times New Roman"/>
      </w:rPr>
      <w:tblPr/>
      <w:tcPr>
        <w:shd w:val="clear" w:color="auto" w:fill="E5C8CE"/>
      </w:tcPr>
    </w:tblStylePr>
    <w:tblStylePr w:type="band1Horz">
      <w:rPr>
        <w:rFonts w:cs="Times New Roman"/>
      </w:rPr>
      <w:tblPr/>
      <w:tcPr>
        <w:shd w:val="clear" w:color="auto" w:fill="E5C8CE"/>
      </w:tcPr>
    </w:tblStylePr>
  </w:style>
  <w:style w:type="table" w:customStyle="1" w:styleId="Sfondoacolori1">
    <w:name w:val="Sfondo a colori1"/>
    <w:uiPriority w:val="99"/>
    <w:rsid w:val="00BA2CD0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DA1F28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Elencomedio2-Colore6">
    <w:name w:val="Medium List 2 Accent 6"/>
    <w:basedOn w:val="Tabellanormale"/>
    <w:uiPriority w:val="99"/>
    <w:rsid w:val="00BA2CD0"/>
    <w:rPr>
      <w:rFonts w:ascii="Lucida Sans Unicode" w:hAnsi="Lucida Sans Unicode" w:cs="Lucida Sans Unicode"/>
      <w:color w:val="000000"/>
      <w:sz w:val="20"/>
      <w:szCs w:val="20"/>
    </w:rPr>
    <w:tblPr>
      <w:tblStyleRowBandSize w:val="1"/>
      <w:tblStyleColBandSize w:val="1"/>
      <w:tblBorders>
        <w:top w:val="single" w:sz="8" w:space="0" w:color="7D3C4A"/>
        <w:left w:val="single" w:sz="8" w:space="0" w:color="7D3C4A"/>
        <w:bottom w:val="single" w:sz="8" w:space="0" w:color="7D3C4A"/>
        <w:right w:val="single" w:sz="8" w:space="0" w:color="7D3C4A"/>
      </w:tblBorders>
    </w:tblPr>
    <w:tblStylePr w:type="firstRow">
      <w:rPr>
        <w:rFonts w:cs="Lucida Sans Unicode"/>
        <w:sz w:val="24"/>
        <w:szCs w:val="24"/>
      </w:rPr>
      <w:tblPr/>
      <w:tcPr>
        <w:tcBorders>
          <w:top w:val="nil"/>
          <w:left w:val="nil"/>
          <w:bottom w:val="single" w:sz="24" w:space="0" w:color="7D3C4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Lucida Sans Unicode"/>
      </w:rPr>
      <w:tblPr/>
      <w:tcPr>
        <w:tcBorders>
          <w:top w:val="single" w:sz="8" w:space="0" w:color="7D3C4A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</w:rPr>
      <w:tblPr/>
      <w:tcPr>
        <w:tcBorders>
          <w:top w:val="nil"/>
          <w:left w:val="nil"/>
          <w:bottom w:val="nil"/>
          <w:right w:val="single" w:sz="8" w:space="0" w:color="7D3C4A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</w:rPr>
      <w:tblPr/>
      <w:tcPr>
        <w:tcBorders>
          <w:top w:val="nil"/>
          <w:left w:val="single" w:sz="8" w:space="0" w:color="7D3C4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Lucida Sans Unicode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C8CE"/>
      </w:tcPr>
    </w:tblStylePr>
    <w:tblStylePr w:type="band1Horz">
      <w:rPr>
        <w:rFonts w:cs="Lucida Sans Unicode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5C8CE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  <w:tblStylePr w:type="swCell">
      <w:rPr>
        <w:rFonts w:cs="Lucida Sans Unicode"/>
      </w:rPr>
      <w:tblPr/>
      <w:tcPr>
        <w:tcBorders>
          <w:top w:val="nil"/>
        </w:tcBorders>
      </w:tcPr>
    </w:tblStylePr>
  </w:style>
  <w:style w:type="table" w:styleId="Grigliamedia1-Colore4">
    <w:name w:val="Medium Grid 1 Accent 4"/>
    <w:basedOn w:val="Tabellanormale"/>
    <w:uiPriority w:val="99"/>
    <w:rsid w:val="00DB0695"/>
    <w:rPr>
      <w:sz w:val="20"/>
      <w:szCs w:val="20"/>
    </w:rPr>
    <w:tblPr>
      <w:tblStyleRowBandSize w:val="1"/>
      <w:tblStyleColBandSize w:val="1"/>
      <w:tblBorders>
        <w:top w:val="single" w:sz="8" w:space="0" w:color="5C87C3"/>
        <w:left w:val="single" w:sz="8" w:space="0" w:color="5C87C3"/>
        <w:bottom w:val="single" w:sz="8" w:space="0" w:color="5C87C3"/>
        <w:right w:val="single" w:sz="8" w:space="0" w:color="5C87C3"/>
        <w:insideH w:val="single" w:sz="8" w:space="0" w:color="5C87C3"/>
        <w:insideV w:val="single" w:sz="8" w:space="0" w:color="5C87C3"/>
      </w:tblBorders>
    </w:tblPr>
    <w:tcPr>
      <w:shd w:val="clear" w:color="auto" w:fill="C9D7E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5C87C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92AFD7"/>
      </w:tcPr>
    </w:tblStylePr>
    <w:tblStylePr w:type="band1Horz">
      <w:rPr>
        <w:rFonts w:cs="Times New Roman"/>
      </w:rPr>
      <w:tblPr/>
      <w:tcPr>
        <w:shd w:val="clear" w:color="auto" w:fill="92AFD7"/>
      </w:tcPr>
    </w:tblStylePr>
  </w:style>
  <w:style w:type="table" w:styleId="Sfondomedio2-Colore4">
    <w:name w:val="Medium Shading 2 Accent 4"/>
    <w:basedOn w:val="Tabellanormale"/>
    <w:uiPriority w:val="99"/>
    <w:rsid w:val="00DB0695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39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4">
    <w:name w:val="Medium Grid 2 Accent 4"/>
    <w:basedOn w:val="Tabellanormale"/>
    <w:uiPriority w:val="99"/>
    <w:rsid w:val="00DB0695"/>
    <w:rPr>
      <w:rFonts w:ascii="Lucida Sans Unicode" w:hAnsi="Lucida Sans Unicode" w:cs="Lucida Sans Unicode"/>
      <w:color w:val="000000"/>
      <w:sz w:val="20"/>
      <w:szCs w:val="20"/>
    </w:rPr>
    <w:tblPr>
      <w:tblStyleRowBandSize w:val="1"/>
      <w:tblStyleColBandSize w:val="1"/>
      <w:tblBorders>
        <w:top w:val="single" w:sz="8" w:space="0" w:color="39639D"/>
        <w:left w:val="single" w:sz="8" w:space="0" w:color="39639D"/>
        <w:bottom w:val="single" w:sz="8" w:space="0" w:color="39639D"/>
        <w:right w:val="single" w:sz="8" w:space="0" w:color="39639D"/>
        <w:insideH w:val="single" w:sz="8" w:space="0" w:color="39639D"/>
        <w:insideV w:val="single" w:sz="8" w:space="0" w:color="39639D"/>
      </w:tblBorders>
    </w:tblPr>
    <w:tcPr>
      <w:shd w:val="clear" w:color="auto" w:fill="C9D7EB"/>
    </w:tcPr>
    <w:tblStylePr w:type="firstRow">
      <w:rPr>
        <w:rFonts w:cs="Lucida Sans Unicode"/>
        <w:b/>
        <w:bCs/>
        <w:color w:val="000000"/>
      </w:rPr>
      <w:tblPr/>
      <w:tcPr>
        <w:shd w:val="clear" w:color="auto" w:fill="E9EFF7"/>
      </w:tcPr>
    </w:tblStylePr>
    <w:tblStylePr w:type="lastRow">
      <w:rPr>
        <w:rFonts w:cs="Lucida Sans Unicode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F"/>
      </w:tcPr>
    </w:tblStylePr>
    <w:tblStylePr w:type="band1Vert">
      <w:rPr>
        <w:rFonts w:cs="Lucida Sans Unicode"/>
      </w:rPr>
      <w:tblPr/>
      <w:tcPr>
        <w:shd w:val="clear" w:color="auto" w:fill="92AFD7"/>
      </w:tcPr>
    </w:tblStylePr>
    <w:tblStylePr w:type="band1Horz">
      <w:rPr>
        <w:rFonts w:cs="Lucida Sans Unicode"/>
      </w:rPr>
      <w:tblPr/>
      <w:tcPr>
        <w:tcBorders>
          <w:insideH w:val="single" w:sz="6" w:space="0" w:color="39639D"/>
          <w:insideV w:val="single" w:sz="6" w:space="0" w:color="39639D"/>
        </w:tcBorders>
        <w:shd w:val="clear" w:color="auto" w:fill="92AFD7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</w:style>
  <w:style w:type="paragraph" w:customStyle="1" w:styleId="western">
    <w:name w:val="western"/>
    <w:basedOn w:val="Normale"/>
    <w:uiPriority w:val="99"/>
    <w:rsid w:val="00F10A9A"/>
    <w:pPr>
      <w:spacing w:before="100" w:beforeAutospacing="1" w:after="119"/>
      <w:jc w:val="both"/>
    </w:pPr>
    <w:rPr>
      <w:sz w:val="20"/>
      <w:szCs w:val="20"/>
    </w:rPr>
  </w:style>
  <w:style w:type="table" w:customStyle="1" w:styleId="Sfondomedio2-Colore11">
    <w:name w:val="Sfondo medio 2 - Colore 11"/>
    <w:uiPriority w:val="99"/>
    <w:rsid w:val="0026604B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4">
    <w:name w:val="Light Shading Accent 4"/>
    <w:basedOn w:val="Tabellanormale"/>
    <w:uiPriority w:val="99"/>
    <w:rsid w:val="0026604B"/>
    <w:rPr>
      <w:color w:val="2A4975"/>
      <w:sz w:val="20"/>
      <w:szCs w:val="20"/>
    </w:rPr>
    <w:tblPr>
      <w:tblStyleRowBandSize w:val="1"/>
      <w:tblStyleColBandSize w:val="1"/>
      <w:tblBorders>
        <w:top w:val="single" w:sz="8" w:space="0" w:color="39639D"/>
        <w:bottom w:val="single" w:sz="8" w:space="0" w:color="39639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39639D"/>
          <w:left w:val="nil"/>
          <w:bottom w:val="single" w:sz="8" w:space="0" w:color="39639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39639D"/>
          <w:left w:val="nil"/>
          <w:bottom w:val="single" w:sz="8" w:space="0" w:color="39639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D7E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D7EB"/>
      </w:tcPr>
    </w:tblStylePr>
  </w:style>
  <w:style w:type="paragraph" w:styleId="Didascalia">
    <w:name w:val="caption"/>
    <w:basedOn w:val="Normale"/>
    <w:next w:val="Normale"/>
    <w:uiPriority w:val="99"/>
    <w:qFormat/>
    <w:rsid w:val="0081507F"/>
    <w:pPr>
      <w:spacing w:after="200"/>
    </w:pPr>
    <w:rPr>
      <w:b/>
      <w:bCs/>
      <w:color w:val="2DA2BF"/>
      <w:sz w:val="18"/>
      <w:szCs w:val="18"/>
    </w:rPr>
  </w:style>
  <w:style w:type="table" w:styleId="Elencomedio2-Colore4">
    <w:name w:val="Medium List 2 Accent 4"/>
    <w:basedOn w:val="Tabellanormale"/>
    <w:uiPriority w:val="99"/>
    <w:rsid w:val="00317283"/>
    <w:rPr>
      <w:rFonts w:ascii="Lucida Sans Unicode" w:hAnsi="Lucida Sans Unicode" w:cs="Lucida Sans Unicode"/>
      <w:color w:val="000000"/>
      <w:sz w:val="20"/>
      <w:szCs w:val="20"/>
    </w:rPr>
    <w:tblPr>
      <w:tblStyleRowBandSize w:val="1"/>
      <w:tblStyleColBandSize w:val="1"/>
      <w:tblBorders>
        <w:top w:val="single" w:sz="8" w:space="0" w:color="39639D"/>
        <w:left w:val="single" w:sz="8" w:space="0" w:color="39639D"/>
        <w:bottom w:val="single" w:sz="8" w:space="0" w:color="39639D"/>
        <w:right w:val="single" w:sz="8" w:space="0" w:color="39639D"/>
      </w:tblBorders>
    </w:tblPr>
    <w:tblStylePr w:type="firstRow">
      <w:rPr>
        <w:rFonts w:cs="Lucida Sans Unicode"/>
        <w:sz w:val="24"/>
        <w:szCs w:val="24"/>
      </w:rPr>
      <w:tblPr/>
      <w:tcPr>
        <w:tcBorders>
          <w:top w:val="nil"/>
          <w:left w:val="nil"/>
          <w:bottom w:val="single" w:sz="24" w:space="0" w:color="39639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Lucida Sans Unicode"/>
      </w:rPr>
      <w:tblPr/>
      <w:tcPr>
        <w:tcBorders>
          <w:top w:val="single" w:sz="8" w:space="0" w:color="39639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</w:rPr>
      <w:tblPr/>
      <w:tcPr>
        <w:tcBorders>
          <w:top w:val="nil"/>
          <w:left w:val="nil"/>
          <w:bottom w:val="nil"/>
          <w:right w:val="single" w:sz="8" w:space="0" w:color="39639D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</w:rPr>
      <w:tblPr/>
      <w:tcPr>
        <w:tcBorders>
          <w:top w:val="nil"/>
          <w:left w:val="single" w:sz="8" w:space="0" w:color="39639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Lucida Sans Unicode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D7EB"/>
      </w:tcPr>
    </w:tblStylePr>
    <w:tblStylePr w:type="band1Horz">
      <w:rPr>
        <w:rFonts w:cs="Lucida Sans Unicode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9D7EB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  <w:tblStylePr w:type="swCell">
      <w:rPr>
        <w:rFonts w:cs="Lucida Sans Unicode"/>
      </w:rPr>
      <w:tblPr/>
      <w:tcPr>
        <w:tcBorders>
          <w:top w:val="nil"/>
        </w:tcBorders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rsid w:val="003A7CB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3A7CB8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rsid w:val="003A7CB8"/>
    <w:rPr>
      <w:rFonts w:cs="Times New Roman"/>
      <w:vertAlign w:val="superscript"/>
    </w:rPr>
  </w:style>
  <w:style w:type="table" w:styleId="Grigliachiara-Colore4">
    <w:name w:val="Light Grid Accent 4"/>
    <w:basedOn w:val="Tabellanormale"/>
    <w:uiPriority w:val="99"/>
    <w:rsid w:val="001B53C7"/>
    <w:rPr>
      <w:sz w:val="20"/>
      <w:szCs w:val="20"/>
    </w:rPr>
    <w:tblPr>
      <w:tblStyleRowBandSize w:val="1"/>
      <w:tblStyleColBandSize w:val="1"/>
      <w:tblBorders>
        <w:top w:val="single" w:sz="8" w:space="0" w:color="39639D"/>
        <w:left w:val="single" w:sz="8" w:space="0" w:color="39639D"/>
        <w:bottom w:val="single" w:sz="8" w:space="0" w:color="39639D"/>
        <w:right w:val="single" w:sz="8" w:space="0" w:color="39639D"/>
        <w:insideH w:val="single" w:sz="8" w:space="0" w:color="39639D"/>
        <w:insideV w:val="single" w:sz="8" w:space="0" w:color="39639D"/>
      </w:tblBorders>
    </w:tblPr>
    <w:tblStylePr w:type="firstRow">
      <w:pPr>
        <w:spacing w:before="0" w:after="0"/>
      </w:pPr>
      <w:rPr>
        <w:rFonts w:ascii="Lucida Sans Unicode" w:eastAsia="Times New Roman" w:hAnsi="Lucida Sans Unicode" w:cs="Lucida Sans Unicode"/>
        <w:b/>
        <w:bCs/>
      </w:rPr>
      <w:tblPr/>
      <w:tcPr>
        <w:tcBorders>
          <w:top w:val="single" w:sz="8" w:space="0" w:color="39639D"/>
          <w:left w:val="single" w:sz="8" w:space="0" w:color="39639D"/>
          <w:bottom w:val="single" w:sz="18" w:space="0" w:color="39639D"/>
          <w:right w:val="single" w:sz="8" w:space="0" w:color="39639D"/>
          <w:insideH w:val="nil"/>
          <w:insideV w:val="single" w:sz="8" w:space="0" w:color="39639D"/>
        </w:tcBorders>
      </w:tcPr>
    </w:tblStylePr>
    <w:tblStylePr w:type="lastRow">
      <w:pPr>
        <w:spacing w:before="0" w:after="0"/>
      </w:pPr>
      <w:rPr>
        <w:rFonts w:ascii="Lucida Sans Unicode" w:eastAsia="Times New Roman" w:hAnsi="Lucida Sans Unicode" w:cs="Lucida Sans Unicode"/>
        <w:b/>
        <w:bCs/>
      </w:rPr>
      <w:tblPr/>
      <w:tcPr>
        <w:tcBorders>
          <w:top w:val="double" w:sz="6" w:space="0" w:color="39639D"/>
          <w:left w:val="single" w:sz="8" w:space="0" w:color="39639D"/>
          <w:bottom w:val="single" w:sz="8" w:space="0" w:color="39639D"/>
          <w:right w:val="single" w:sz="8" w:space="0" w:color="39639D"/>
          <w:insideH w:val="nil"/>
          <w:insideV w:val="single" w:sz="8" w:space="0" w:color="39639D"/>
        </w:tcBorders>
      </w:tcPr>
    </w:tblStylePr>
    <w:tblStylePr w:type="firstCol">
      <w:rPr>
        <w:rFonts w:ascii="Lucida Sans Unicode" w:eastAsia="Times New Roman" w:hAnsi="Lucida Sans Unicode" w:cs="Lucida Sans Unicode"/>
        <w:b/>
        <w:bCs/>
      </w:rPr>
    </w:tblStylePr>
    <w:tblStylePr w:type="lastCol">
      <w:rPr>
        <w:rFonts w:ascii="Lucida Sans Unicode" w:eastAsia="Times New Roman" w:hAnsi="Lucida Sans Unicode" w:cs="Lucida Sans Unicode"/>
        <w:b/>
        <w:bCs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</w:tcBorders>
        <w:shd w:val="clear" w:color="auto" w:fill="C9D7EB"/>
      </w:tcPr>
    </w:tblStylePr>
    <w:tblStylePr w:type="band1Horz">
      <w:rPr>
        <w:rFonts w:cs="Times New Roman"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  <w:insideV w:val="single" w:sz="8" w:space="0" w:color="39639D"/>
        </w:tcBorders>
        <w:shd w:val="clear" w:color="auto" w:fill="C9D7EB"/>
      </w:tcPr>
    </w:tblStylePr>
    <w:tblStylePr w:type="band2Horz">
      <w:rPr>
        <w:rFonts w:cs="Times New Roman"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  <w:insideV w:val="single" w:sz="8" w:space="0" w:color="39639D"/>
        </w:tcBorders>
      </w:tcPr>
    </w:tblStylePr>
  </w:style>
  <w:style w:type="character" w:customStyle="1" w:styleId="Carattere">
    <w:name w:val="Carattere"/>
    <w:uiPriority w:val="99"/>
    <w:rsid w:val="00E4132A"/>
    <w:rPr>
      <w:sz w:val="26"/>
      <w:lang w:val="it-IT" w:eastAsia="it-IT"/>
    </w:rPr>
  </w:style>
  <w:style w:type="table" w:styleId="Grigliamedia3-Colore1">
    <w:name w:val="Medium Grid 3 Accent 1"/>
    <w:basedOn w:val="Tabellanormale"/>
    <w:uiPriority w:val="99"/>
    <w:rsid w:val="00DF7C59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fondomedio1-Colore11">
    <w:name w:val="Sfondo medio 1 - Colore 11"/>
    <w:uiPriority w:val="99"/>
    <w:rsid w:val="00756D63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acolori-Colore1">
    <w:name w:val="Colorful Grid Accent 1"/>
    <w:basedOn w:val="Tabellanormale"/>
    <w:uiPriority w:val="99"/>
    <w:rsid w:val="00C70257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styleId="Titolo">
    <w:name w:val="Title"/>
    <w:basedOn w:val="Normale"/>
    <w:link w:val="TitoloCarattere"/>
    <w:uiPriority w:val="99"/>
    <w:qFormat/>
    <w:locked/>
    <w:rsid w:val="00076539"/>
    <w:pPr>
      <w:spacing w:before="400" w:after="200" w:line="276" w:lineRule="auto"/>
    </w:pPr>
    <w:rPr>
      <w:rFonts w:ascii="Cambria" w:hAnsi="Cambria"/>
      <w:color w:val="365F91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76539"/>
    <w:rPr>
      <w:rFonts w:ascii="Cambria" w:hAnsi="Cambria" w:cs="Times New Roman"/>
      <w:color w:val="365F91"/>
      <w:sz w:val="56"/>
      <w:szCs w:val="56"/>
      <w:lang w:eastAsia="en-US"/>
    </w:rPr>
  </w:style>
  <w:style w:type="paragraph" w:customStyle="1" w:styleId="Textbody">
    <w:name w:val="Text body"/>
    <w:basedOn w:val="Normale"/>
    <w:uiPriority w:val="99"/>
    <w:rsid w:val="000D462C"/>
    <w:pPr>
      <w:suppressAutoHyphens/>
      <w:autoSpaceDN w:val="0"/>
      <w:jc w:val="both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Standard">
    <w:name w:val="Standard"/>
    <w:uiPriority w:val="99"/>
    <w:rsid w:val="00532A0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table" w:styleId="Grigliamedia1-Colore1">
    <w:name w:val="Medium Grid 1 Accent 1"/>
    <w:basedOn w:val="Tabellanormale"/>
    <w:uiPriority w:val="99"/>
    <w:rsid w:val="00543E97"/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TestoNormale">
    <w:name w:val="Testo Normale"/>
    <w:basedOn w:val="Normale"/>
    <w:uiPriority w:val="99"/>
    <w:rsid w:val="000C2517"/>
    <w:pPr>
      <w:spacing w:line="360" w:lineRule="atLeast"/>
      <w:jc w:val="both"/>
    </w:pPr>
    <w:rPr>
      <w:rFonts w:ascii="Arial" w:hAnsi="Arial"/>
      <w:szCs w:val="20"/>
    </w:rPr>
  </w:style>
  <w:style w:type="character" w:customStyle="1" w:styleId="BodyTextIndent3Char">
    <w:name w:val="Body Text Indent 3 Char"/>
    <w:uiPriority w:val="99"/>
    <w:semiHidden/>
    <w:locked/>
    <w:rsid w:val="001E7E6F"/>
    <w:rPr>
      <w:rFonts w:eastAsia="MS Mincho"/>
      <w:sz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locked/>
    <w:rsid w:val="001E7E6F"/>
    <w:pPr>
      <w:ind w:firstLine="709"/>
    </w:pPr>
    <w:rPr>
      <w:rFonts w:eastAsia="MS Mincho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44D91"/>
    <w:rPr>
      <w:rFonts w:cs="Times New Roman"/>
      <w:sz w:val="16"/>
      <w:szCs w:val="16"/>
    </w:rPr>
  </w:style>
  <w:style w:type="paragraph" w:customStyle="1" w:styleId="testonews">
    <w:name w:val="testonews"/>
    <w:basedOn w:val="Normale"/>
    <w:uiPriority w:val="99"/>
    <w:rsid w:val="001E7E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deltesto22">
    <w:name w:val="Corpo del testo 22"/>
    <w:basedOn w:val="Normale"/>
    <w:uiPriority w:val="99"/>
    <w:rsid w:val="001E7E6F"/>
    <w:pPr>
      <w:tabs>
        <w:tab w:val="left" w:pos="1276"/>
      </w:tabs>
      <w:suppressAutoHyphens/>
      <w:jc w:val="both"/>
    </w:pPr>
    <w:rPr>
      <w:rFonts w:eastAsia="MS Mincho"/>
      <w:szCs w:val="20"/>
      <w:lang w:eastAsia="ar-SA"/>
    </w:rPr>
  </w:style>
  <w:style w:type="paragraph" w:customStyle="1" w:styleId="Corpotesto1">
    <w:name w:val="Corpo testo1"/>
    <w:uiPriority w:val="99"/>
    <w:rsid w:val="001E7E6F"/>
    <w:pPr>
      <w:widowControl w:val="0"/>
      <w:autoSpaceDE w:val="0"/>
      <w:autoSpaceDN w:val="0"/>
      <w:adjustRightInd w:val="0"/>
      <w:spacing w:before="114" w:after="1"/>
      <w:ind w:left="1" w:right="1" w:firstLine="567"/>
      <w:jc w:val="both"/>
    </w:pPr>
    <w:rPr>
      <w:rFonts w:eastAsia="MS Mincho"/>
      <w:color w:val="000000"/>
    </w:rPr>
  </w:style>
  <w:style w:type="character" w:customStyle="1" w:styleId="DocumentMapChar">
    <w:name w:val="Document Map Char"/>
    <w:aliases w:val="Carattere1 Char1"/>
    <w:uiPriority w:val="99"/>
    <w:semiHidden/>
    <w:locked/>
    <w:rsid w:val="001E7E6F"/>
    <w:rPr>
      <w:rFonts w:ascii="Tahoma" w:eastAsia="MS Mincho" w:hAnsi="Tahoma"/>
      <w:sz w:val="20"/>
      <w:shd w:val="clear" w:color="auto" w:fill="000080"/>
    </w:rPr>
  </w:style>
  <w:style w:type="paragraph" w:styleId="Mappadocumento">
    <w:name w:val="Document Map"/>
    <w:aliases w:val="Carattere1"/>
    <w:basedOn w:val="Normale"/>
    <w:link w:val="MappadocumentoCarattere"/>
    <w:uiPriority w:val="99"/>
    <w:semiHidden/>
    <w:locked/>
    <w:rsid w:val="001E7E6F"/>
    <w:pPr>
      <w:shd w:val="clear" w:color="auto" w:fill="000080"/>
    </w:pPr>
    <w:rPr>
      <w:rFonts w:ascii="Tahoma" w:eastAsia="MS Mincho" w:hAnsi="Tahoma"/>
      <w:sz w:val="20"/>
      <w:szCs w:val="20"/>
    </w:rPr>
  </w:style>
  <w:style w:type="character" w:customStyle="1" w:styleId="MappadocumentoCarattere">
    <w:name w:val="Mappa documento Carattere"/>
    <w:aliases w:val="Carattere1 Carattere"/>
    <w:basedOn w:val="Carpredefinitoparagrafo"/>
    <w:link w:val="Mappadocumento"/>
    <w:uiPriority w:val="99"/>
    <w:semiHidden/>
    <w:locked/>
    <w:rsid w:val="00044D91"/>
    <w:rPr>
      <w:rFonts w:cs="Times New Roman"/>
      <w:sz w:val="2"/>
    </w:rPr>
  </w:style>
  <w:style w:type="paragraph" w:customStyle="1" w:styleId="xl24">
    <w:name w:val="xl24"/>
    <w:basedOn w:val="Normale"/>
    <w:uiPriority w:val="99"/>
    <w:rsid w:val="001E7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uiPriority w:val="99"/>
    <w:rsid w:val="001E7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uiPriority w:val="99"/>
    <w:rsid w:val="001E7E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grame">
    <w:name w:val="grame"/>
    <w:basedOn w:val="Carpredefinitoparagrafo"/>
    <w:uiPriority w:val="99"/>
    <w:rsid w:val="001E7E6F"/>
    <w:rPr>
      <w:rFonts w:cs="Times New Roman"/>
    </w:rPr>
  </w:style>
  <w:style w:type="paragraph" w:customStyle="1" w:styleId="testograndebianco">
    <w:name w:val="testograndebianco"/>
    <w:basedOn w:val="Normale"/>
    <w:uiPriority w:val="99"/>
    <w:rsid w:val="001E7E6F"/>
    <w:pPr>
      <w:spacing w:before="100" w:beforeAutospacing="1" w:after="100" w:afterAutospacing="1"/>
    </w:pPr>
    <w:rPr>
      <w:rFonts w:ascii="Arial" w:eastAsia="MS Mincho" w:hAnsi="Arial" w:cs="Arial"/>
      <w:b/>
      <w:bCs/>
      <w:color w:val="FFFFFF"/>
      <w:sz w:val="30"/>
      <w:szCs w:val="30"/>
    </w:rPr>
  </w:style>
  <w:style w:type="paragraph" w:customStyle="1" w:styleId="testomediobianco">
    <w:name w:val="testomediobianco"/>
    <w:basedOn w:val="Normale"/>
    <w:uiPriority w:val="99"/>
    <w:rsid w:val="001E7E6F"/>
    <w:pPr>
      <w:spacing w:before="100" w:beforeAutospacing="1" w:after="100" w:afterAutospacing="1"/>
    </w:pPr>
    <w:rPr>
      <w:rFonts w:ascii="Arial" w:eastAsia="MS Mincho" w:hAnsi="Arial" w:cs="Arial"/>
      <w:b/>
      <w:bCs/>
      <w:color w:val="FFFFFF"/>
      <w:sz w:val="23"/>
      <w:szCs w:val="23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locked/>
    <w:rsid w:val="001E7E6F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locked/>
    <w:rsid w:val="001E7E6F"/>
    <w:rPr>
      <w:rFonts w:ascii="Arial" w:eastAsia="MS Mincho" w:hAnsi="Arial" w:cs="Arial"/>
      <w:vanish/>
      <w:sz w:val="16"/>
      <w:szCs w:val="16"/>
    </w:rPr>
  </w:style>
  <w:style w:type="character" w:customStyle="1" w:styleId="notsottotitolo">
    <w:name w:val="notsottotitolo"/>
    <w:basedOn w:val="Carpredefinitoparagrafo"/>
    <w:uiPriority w:val="99"/>
    <w:rsid w:val="001E7E6F"/>
    <w:rPr>
      <w:rFonts w:cs="Times New Roman"/>
    </w:rPr>
  </w:style>
  <w:style w:type="character" w:customStyle="1" w:styleId="nottesto">
    <w:name w:val="nottesto"/>
    <w:basedOn w:val="Carpredefinitoparagrafo"/>
    <w:uiPriority w:val="99"/>
    <w:rsid w:val="001E7E6F"/>
    <w:rPr>
      <w:rFonts w:cs="Times New Roman"/>
    </w:rPr>
  </w:style>
  <w:style w:type="paragraph" w:customStyle="1" w:styleId="testo">
    <w:name w:val="testo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color w:val="000000"/>
    </w:rPr>
  </w:style>
  <w:style w:type="character" w:customStyle="1" w:styleId="agg">
    <w:name w:val="agg"/>
    <w:basedOn w:val="Carpredefinitoparagrafo"/>
    <w:uiPriority w:val="99"/>
    <w:rsid w:val="001E7E6F"/>
    <w:rPr>
      <w:rFonts w:cs="Times New Roman"/>
      <w:i/>
      <w:iCs/>
    </w:rPr>
  </w:style>
  <w:style w:type="paragraph" w:customStyle="1" w:styleId="blumediopiu">
    <w:name w:val="blumediopiu"/>
    <w:basedOn w:val="Normale"/>
    <w:uiPriority w:val="99"/>
    <w:rsid w:val="001E7E6F"/>
    <w:pPr>
      <w:spacing w:before="100" w:beforeAutospacing="1" w:after="100" w:afterAutospacing="1"/>
    </w:pPr>
    <w:rPr>
      <w:rFonts w:ascii="Arial" w:eastAsia="MS Mincho" w:hAnsi="Arial" w:cs="Arial"/>
      <w:b/>
      <w:bCs/>
      <w:color w:val="003366"/>
    </w:rPr>
  </w:style>
  <w:style w:type="character" w:customStyle="1" w:styleId="MessageHeaderChar">
    <w:name w:val="Message Header Char"/>
    <w:uiPriority w:val="99"/>
    <w:semiHidden/>
    <w:locked/>
    <w:rsid w:val="001E7E6F"/>
    <w:rPr>
      <w:rFonts w:ascii="Garamond" w:eastAsia="MS Mincho" w:hAnsi="Garamond"/>
      <w:spacing w:val="-5"/>
      <w:sz w:val="20"/>
      <w:lang w:eastAsia="en-US"/>
    </w:rPr>
  </w:style>
  <w:style w:type="paragraph" w:styleId="Intestazionemessaggio">
    <w:name w:val="Message Header"/>
    <w:basedOn w:val="Corpotesto"/>
    <w:link w:val="IntestazionemessaggioCarattere"/>
    <w:uiPriority w:val="99"/>
    <w:semiHidden/>
    <w:locked/>
    <w:rsid w:val="001E7E6F"/>
    <w:pPr>
      <w:keepLines/>
      <w:spacing w:after="40" w:line="140" w:lineRule="atLeast"/>
      <w:ind w:left="360"/>
      <w:jc w:val="left"/>
    </w:pPr>
    <w:rPr>
      <w:rFonts w:ascii="Garamond" w:eastAsia="MS Mincho" w:hAnsi="Garamond"/>
      <w:spacing w:val="-5"/>
      <w:lang w:eastAsia="en-US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044D91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mdtablestatslab1">
    <w:name w:val="mdtablestatslab1"/>
    <w:basedOn w:val="Carpredefinitoparagrafo"/>
    <w:uiPriority w:val="99"/>
    <w:rsid w:val="001E7E6F"/>
    <w:rPr>
      <w:rFonts w:ascii="Verdana" w:hAnsi="Verdana" w:cs="Times New Roman"/>
      <w:b/>
      <w:bCs/>
      <w:color w:val="000080"/>
      <w:sz w:val="15"/>
      <w:szCs w:val="15"/>
    </w:rPr>
  </w:style>
  <w:style w:type="character" w:customStyle="1" w:styleId="mdtableanalylab1">
    <w:name w:val="mdtableanalylab1"/>
    <w:basedOn w:val="Carpredefinitoparagrafo"/>
    <w:uiPriority w:val="99"/>
    <w:rsid w:val="001E7E6F"/>
    <w:rPr>
      <w:rFonts w:ascii="Verdana" w:hAnsi="Verdana" w:cs="Times New Roman"/>
      <w:b/>
      <w:bCs/>
      <w:color w:val="000080"/>
      <w:sz w:val="15"/>
      <w:szCs w:val="15"/>
    </w:rPr>
  </w:style>
  <w:style w:type="character" w:customStyle="1" w:styleId="mdtablerowlab1">
    <w:name w:val="mdtablerowlab1"/>
    <w:basedOn w:val="Carpredefinitoparagrafo"/>
    <w:uiPriority w:val="99"/>
    <w:rsid w:val="001E7E6F"/>
    <w:rPr>
      <w:rFonts w:ascii="Verdana" w:hAnsi="Verdana" w:cs="Times New Roman"/>
      <w:b/>
      <w:bCs/>
      <w:color w:val="000080"/>
      <w:sz w:val="15"/>
      <w:szCs w:val="15"/>
    </w:rPr>
  </w:style>
  <w:style w:type="character" w:customStyle="1" w:styleId="mdtabledata1">
    <w:name w:val="mdtabledata1"/>
    <w:basedOn w:val="Carpredefinitoparagrafo"/>
    <w:uiPriority w:val="99"/>
    <w:rsid w:val="001E7E6F"/>
    <w:rPr>
      <w:rFonts w:ascii="Arial" w:hAnsi="Arial" w:cs="Arial"/>
      <w:color w:val="000000"/>
      <w:sz w:val="15"/>
      <w:szCs w:val="15"/>
    </w:rPr>
  </w:style>
  <w:style w:type="character" w:customStyle="1" w:styleId="mdtabletotrowlab1">
    <w:name w:val="mdtabletotrowlab1"/>
    <w:basedOn w:val="Carpredefinitoparagrafo"/>
    <w:uiPriority w:val="99"/>
    <w:rsid w:val="001E7E6F"/>
    <w:rPr>
      <w:rFonts w:ascii="Verdana" w:hAnsi="Verdana" w:cs="Times New Roman"/>
      <w:b/>
      <w:bCs/>
      <w:color w:val="DC143C"/>
      <w:sz w:val="15"/>
      <w:szCs w:val="15"/>
    </w:rPr>
  </w:style>
  <w:style w:type="character" w:customStyle="1" w:styleId="mdtabletotrowdata1">
    <w:name w:val="mdtabletotrowdata1"/>
    <w:basedOn w:val="Carpredefinitoparagrafo"/>
    <w:uiPriority w:val="99"/>
    <w:rsid w:val="001E7E6F"/>
    <w:rPr>
      <w:rFonts w:ascii="Arial" w:hAnsi="Arial" w:cs="Arial"/>
      <w:b/>
      <w:bCs/>
      <w:color w:val="DC143C"/>
      <w:sz w:val="15"/>
      <w:szCs w:val="15"/>
    </w:rPr>
  </w:style>
  <w:style w:type="paragraph" w:styleId="Puntoelenco">
    <w:name w:val="List Bullet"/>
    <w:basedOn w:val="Normale"/>
    <w:uiPriority w:val="99"/>
    <w:semiHidden/>
    <w:locked/>
    <w:rsid w:val="001E7E6F"/>
    <w:pPr>
      <w:tabs>
        <w:tab w:val="num" w:pos="360"/>
      </w:tabs>
      <w:ind w:left="360" w:hanging="360"/>
    </w:pPr>
    <w:rPr>
      <w:rFonts w:eastAsia="MS Mincho"/>
    </w:rPr>
  </w:style>
  <w:style w:type="paragraph" w:customStyle="1" w:styleId="provvr0">
    <w:name w:val="provv_r0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lang w:bidi="as-IN"/>
    </w:rPr>
  </w:style>
  <w:style w:type="paragraph" w:customStyle="1" w:styleId="provvr1">
    <w:name w:val="provv_r1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lang w:bidi="as-IN"/>
    </w:rPr>
  </w:style>
  <w:style w:type="character" w:customStyle="1" w:styleId="provvrubrica">
    <w:name w:val="provv_rubrica"/>
    <w:basedOn w:val="Carpredefinitoparagrafo"/>
    <w:uiPriority w:val="99"/>
    <w:rsid w:val="001E7E6F"/>
    <w:rPr>
      <w:rFonts w:cs="Times New Roman"/>
    </w:rPr>
  </w:style>
  <w:style w:type="character" w:customStyle="1" w:styleId="txtjustify">
    <w:name w:val="txt_justify"/>
    <w:basedOn w:val="Carpredefinitoparagrafo"/>
    <w:uiPriority w:val="99"/>
    <w:rsid w:val="001E7E6F"/>
    <w:rPr>
      <w:rFonts w:cs="Times New Roman"/>
    </w:rPr>
  </w:style>
  <w:style w:type="paragraph" w:customStyle="1" w:styleId="txtjustify1">
    <w:name w:val="txt_justify1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lang w:bidi="as-IN"/>
    </w:rPr>
  </w:style>
  <w:style w:type="character" w:customStyle="1" w:styleId="doctitolo">
    <w:name w:val="doctitolo"/>
    <w:basedOn w:val="Carpredefinitoparagrafo"/>
    <w:uiPriority w:val="99"/>
    <w:rsid w:val="001E7E6F"/>
    <w:rPr>
      <w:rFonts w:cs="Times New Roman"/>
    </w:rPr>
  </w:style>
  <w:style w:type="character" w:customStyle="1" w:styleId="text2">
    <w:name w:val="text2"/>
    <w:basedOn w:val="Carpredefinitoparagrafo"/>
    <w:uiPriority w:val="99"/>
    <w:rsid w:val="001E7E6F"/>
    <w:rPr>
      <w:rFonts w:cs="Times New Roman"/>
    </w:rPr>
  </w:style>
  <w:style w:type="paragraph" w:customStyle="1" w:styleId="abstract">
    <w:name w:val="abstract"/>
    <w:basedOn w:val="Normale"/>
    <w:uiPriority w:val="99"/>
    <w:rsid w:val="001E7E6F"/>
    <w:pPr>
      <w:spacing w:before="100" w:beforeAutospacing="1" w:after="100" w:afterAutospacing="1"/>
    </w:pPr>
    <w:rPr>
      <w:rFonts w:eastAsia="MS Mincho"/>
    </w:rPr>
  </w:style>
  <w:style w:type="paragraph" w:customStyle="1" w:styleId="Corpodeltesto23">
    <w:name w:val="Corpo del testo 23"/>
    <w:basedOn w:val="Normale"/>
    <w:uiPriority w:val="99"/>
    <w:rsid w:val="003B5C17"/>
    <w:pPr>
      <w:tabs>
        <w:tab w:val="left" w:pos="1276"/>
      </w:tabs>
      <w:suppressAutoHyphens/>
      <w:jc w:val="both"/>
    </w:pPr>
    <w:rPr>
      <w:rFonts w:eastAsia="MS Mincho"/>
      <w:szCs w:val="20"/>
      <w:lang w:eastAsia="ar-SA"/>
    </w:rPr>
  </w:style>
  <w:style w:type="character" w:customStyle="1" w:styleId="SubtitleChar">
    <w:name w:val="Subtitle Char"/>
    <w:uiPriority w:val="99"/>
    <w:locked/>
    <w:rsid w:val="003B5C17"/>
    <w:rPr>
      <w:rFonts w:ascii="Tahoma" w:hAnsi="Tahoma"/>
    </w:rPr>
  </w:style>
  <w:style w:type="paragraph" w:styleId="Sottotitolo">
    <w:name w:val="Subtitle"/>
    <w:basedOn w:val="Normale"/>
    <w:next w:val="Normale"/>
    <w:link w:val="SottotitoloCarattere"/>
    <w:uiPriority w:val="99"/>
    <w:qFormat/>
    <w:locked/>
    <w:rsid w:val="003B5C17"/>
    <w:pPr>
      <w:spacing w:after="60"/>
      <w:jc w:val="center"/>
      <w:outlineLvl w:val="1"/>
    </w:pPr>
    <w:rPr>
      <w:rFonts w:ascii="Tahoma" w:hAnsi="Tahoma"/>
      <w:sz w:val="20"/>
      <w:szCs w:val="20"/>
      <w:shd w:val="clear" w:color="auto" w:fill="000080"/>
    </w:rPr>
  </w:style>
  <w:style w:type="character" w:customStyle="1" w:styleId="SubtitleChar1">
    <w:name w:val="Subtitle Char1"/>
    <w:basedOn w:val="Carpredefinitoparagrafo"/>
    <w:uiPriority w:val="99"/>
    <w:locked/>
    <w:rsid w:val="00044D91"/>
    <w:rPr>
      <w:rFonts w:ascii="Cambria" w:hAnsi="Cambria" w:cs="Times New Roman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B5C17"/>
    <w:rPr>
      <w:rFonts w:ascii="Cambria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5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0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0691">
                              <w:marLeft w:val="3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7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oglio_di_lavoro_di_Microsoft_Excel_97-2003.xls"/><Relationship Id="rId13" Type="http://schemas.openxmlformats.org/officeDocument/2006/relationships/oleObject" Target="embeddings/Foglio_di_lavoro_di_Microsoft_Excel_97-20031.xls"/><Relationship Id="rId18" Type="http://schemas.openxmlformats.org/officeDocument/2006/relationships/oleObject" Target="embeddings/Foglio_di_lavoro_di_Microsoft_Excel_97-20033.xls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6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5" Type="http://schemas.openxmlformats.org/officeDocument/2006/relationships/oleObject" Target="embeddings/Foglio_di_lavoro_di_Microsoft_Excel_97-20035.xls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chart" Target="charts/chart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image" Target="media/image7.emf"/><Relationship Id="rId5" Type="http://schemas.openxmlformats.org/officeDocument/2006/relationships/footnotes" Target="footnotes.xml"/><Relationship Id="rId15" Type="http://schemas.openxmlformats.org/officeDocument/2006/relationships/oleObject" Target="embeddings/Foglio_di_lavoro_di_Microsoft_Excel_97-20032.xls"/><Relationship Id="rId23" Type="http://schemas.openxmlformats.org/officeDocument/2006/relationships/oleObject" Target="embeddings/Foglio_di_lavoro_di_Microsoft_Excel_97-20034.xls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3.emf"/><Relationship Id="rId22" Type="http://schemas.openxmlformats.org/officeDocument/2006/relationships/image" Target="media/image6.emf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Excel5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57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Proventi correnti</a:t>
            </a:r>
          </a:p>
        </c:rich>
      </c:tx>
      <c:layout>
        <c:manualLayout>
          <c:xMode val="edge"/>
          <c:yMode val="edge"/>
          <c:x val="0.40293643202496937"/>
          <c:y val="1.9753109878864649E-2"/>
        </c:manualLayout>
      </c:layout>
      <c:overlay val="0"/>
      <c:spPr>
        <a:noFill/>
        <a:ln w="10501">
          <a:noFill/>
        </a:ln>
      </c:spPr>
    </c:title>
    <c:autoTitleDeleted val="0"/>
    <c:view3D>
      <c:rotX val="15"/>
      <c:hPercent val="63"/>
      <c:rotY val="20"/>
      <c:depthPercent val="100"/>
      <c:rAngAx val="1"/>
    </c:view3D>
    <c:floor>
      <c:thickness val="0"/>
      <c:spPr>
        <a:solidFill>
          <a:srgbClr val="FFCC0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gradFill rotWithShape="0">
          <a:gsLst>
            <a:gs pos="0">
              <a:srgbClr val="FFFF99"/>
            </a:gs>
            <a:gs pos="50000">
              <a:srgbClr val="FFFF00"/>
            </a:gs>
            <a:gs pos="100000">
              <a:srgbClr val="FFFF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thickness val="0"/>
      <c:spPr>
        <a:gradFill rotWithShape="0">
          <a:gsLst>
            <a:gs pos="0">
              <a:srgbClr val="FFFF99"/>
            </a:gs>
            <a:gs pos="50000">
              <a:srgbClr val="FFFF00"/>
            </a:gs>
            <a:gs pos="100000">
              <a:srgbClr val="FFFF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595960349182365"/>
          <c:y val="1.4213483900565366E-2"/>
          <c:w val="0.73572593800978914"/>
          <c:h val="0.711111111111111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0">
              <a:gsLst>
                <a:gs pos="0">
                  <a:srgbClr val="CCFFCC"/>
                </a:gs>
                <a:gs pos="100000">
                  <a:srgbClr val="9999FF"/>
                </a:gs>
              </a:gsLst>
              <a:lin ang="5400000" scaled="1"/>
            </a:gradFill>
            <a:ln w="5242">
              <a:solidFill>
                <a:srgbClr val="00008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trasf. e altre entrate</c:v>
                </c:pt>
                <c:pt idx="3">
                  <c:v>Proventi da gestione di beni e servizi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4408021.2</c:v>
                </c:pt>
                <c:pt idx="1">
                  <c:v>1297320.3600000001</c:v>
                </c:pt>
                <c:pt idx="2">
                  <c:v>189594.06</c:v>
                </c:pt>
                <c:pt idx="3">
                  <c:v>553990.93000000005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7F-4AEC-AC2A-8C00E100FEC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0">
              <a:gsLst>
                <a:gs pos="0">
                  <a:srgbClr val="993366"/>
                </a:gs>
                <a:gs pos="100000">
                  <a:srgbClr val="FFFFFF"/>
                </a:gs>
              </a:gsLst>
              <a:lin ang="5400000" scaled="1"/>
            </a:gradFill>
            <a:ln w="5242">
              <a:solidFill>
                <a:srgbClr val="8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trasf. e altre entrate</c:v>
                </c:pt>
                <c:pt idx="3">
                  <c:v>Proventi da gestione di beni e servizi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4000026</c:v>
                </c:pt>
                <c:pt idx="1">
                  <c:v>1281608</c:v>
                </c:pt>
                <c:pt idx="2">
                  <c:v>193888</c:v>
                </c:pt>
                <c:pt idx="3">
                  <c:v>564974.03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7F-4AEC-AC2A-8C00E100FE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46281551"/>
        <c:axId val="1"/>
        <c:axId val="0"/>
      </c:bar3DChart>
      <c:catAx>
        <c:axId val="104628155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311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41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311">
              <a:solidFill>
                <a:srgbClr val="000000"/>
              </a:solidFill>
              <a:prstDash val="solid"/>
            </a:ln>
          </c:spPr>
        </c:majorGridlines>
        <c:numFmt formatCode="\€\ #,##0" sourceLinked="0"/>
        <c:majorTickMark val="out"/>
        <c:minorTickMark val="none"/>
        <c:tickLblPos val="nextTo"/>
        <c:spPr>
          <a:ln w="131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1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046281551"/>
        <c:crosses val="autoZero"/>
        <c:crossBetween val="between"/>
      </c:valAx>
      <c:spPr>
        <a:noFill/>
        <a:ln w="10501">
          <a:noFill/>
        </a:ln>
      </c:spPr>
    </c:plotArea>
    <c:legend>
      <c:legendPos val="r"/>
      <c:layout>
        <c:manualLayout>
          <c:xMode val="edge"/>
          <c:yMode val="edge"/>
          <c:x val="0.904709748083242"/>
          <c:y val="0.34482758620689657"/>
          <c:w val="9.529025191675794E-2"/>
          <c:h val="0.1206896551724138"/>
        </c:manualLayout>
      </c:layout>
      <c:overlay val="0"/>
      <c:spPr>
        <a:noFill/>
        <a:ln w="1311">
          <a:solidFill>
            <a:srgbClr val="000000"/>
          </a:solidFill>
          <a:prstDash val="solid"/>
        </a:ln>
      </c:spPr>
      <c:txPr>
        <a:bodyPr/>
        <a:lstStyle/>
        <a:p>
          <a:pPr>
            <a:defRPr sz="454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3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76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Proventi correnti 2016 - Composizione percentuale</a:t>
            </a:r>
          </a:p>
        </c:rich>
      </c:tx>
      <c:layout>
        <c:manualLayout>
          <c:xMode val="edge"/>
          <c:yMode val="edge"/>
          <c:x val="0.17460298173388225"/>
          <c:y val="1.9178146421017762E-2"/>
        </c:manualLayout>
      </c:layout>
      <c:overlay val="0"/>
      <c:spPr>
        <a:noFill/>
        <a:ln w="13907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572519083969466"/>
          <c:y val="0.39961013645224169"/>
          <c:w val="0.2198473282442748"/>
          <c:h val="0.111111111111111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0">
              <a:gsLst>
                <a:gs pos="0">
                  <a:srgbClr val="CCFFCC"/>
                </a:gs>
                <a:gs pos="100000">
                  <a:srgbClr val="9999FF"/>
                </a:gs>
              </a:gsLst>
              <a:lin ang="5400000" scaled="1"/>
            </a:gradFill>
            <a:ln w="6972">
              <a:solidFill>
                <a:srgbClr val="000080"/>
              </a:solidFill>
              <a:prstDash val="solid"/>
            </a:ln>
          </c:spPr>
          <c:dPt>
            <c:idx val="0"/>
            <c:bubble3D val="0"/>
            <c:spPr>
              <a:gradFill rotWithShape="0">
                <a:gsLst>
                  <a:gs pos="0">
                    <a:srgbClr val="99CC00"/>
                  </a:gs>
                  <a:gs pos="100000">
                    <a:srgbClr val="808000"/>
                  </a:gs>
                </a:gsLst>
                <a:lin ang="5400000" scaled="1"/>
              </a:gradFill>
              <a:ln w="6972">
                <a:solidFill>
                  <a:srgbClr val="0033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FFF2-42D2-A73C-7F9F01DD904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FF2-42D2-A73C-7F9F01DD9043}"/>
              </c:ext>
            </c:extLst>
          </c:dPt>
          <c:dPt>
            <c:idx val="2"/>
            <c:bubble3D val="0"/>
            <c:spPr>
              <a:gradFill rotWithShape="0">
                <a:gsLst>
                  <a:gs pos="0">
                    <a:srgbClr val="FF99CC"/>
                  </a:gs>
                  <a:gs pos="100000">
                    <a:srgbClr val="FF00FF"/>
                  </a:gs>
                </a:gsLst>
                <a:lin ang="5400000" scaled="1"/>
              </a:gradFill>
              <a:ln w="6972">
                <a:solidFill>
                  <a:srgbClr val="8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FFF2-42D2-A73C-7F9F01DD9043}"/>
              </c:ext>
            </c:extLst>
          </c:dPt>
          <c:dPt>
            <c:idx val="3"/>
            <c:bubble3D val="0"/>
            <c:spPr>
              <a:gradFill rotWithShape="0">
                <a:gsLst>
                  <a:gs pos="0">
                    <a:srgbClr val="800000"/>
                  </a:gs>
                  <a:gs pos="100000">
                    <a:srgbClr val="993300"/>
                  </a:gs>
                </a:gsLst>
                <a:lin ang="5400000" scaled="1"/>
              </a:gradFill>
              <a:ln w="6972">
                <a:solidFill>
                  <a:srgbClr val="8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FF2-42D2-A73C-7F9F01DD9043}"/>
              </c:ext>
            </c:extLst>
          </c:dPt>
          <c:dLbls>
            <c:dLbl>
              <c:idx val="0"/>
              <c:layout>
                <c:manualLayout>
                  <c:x val="-5.6277229305727648E-5"/>
                  <c:y val="-0.13450368218535791"/>
                </c:manualLayout>
              </c:layout>
              <c:tx>
                <c:rich>
                  <a:bodyPr/>
                  <a:lstStyle/>
                  <a:p>
                    <a:pPr>
                      <a:defRPr sz="43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Diritto annuale
68,47%</a:t>
                    </a:r>
                  </a:p>
                </c:rich>
              </c:tx>
              <c:spPr>
                <a:noFill/>
                <a:ln w="13907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F2-42D2-A73C-7F9F01DD904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43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Diritti di segreteria
20,15%</a:t>
                    </a:r>
                  </a:p>
                </c:rich>
              </c:tx>
              <c:spPr>
                <a:noFill/>
                <a:ln w="13907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F2-42D2-A73C-7F9F01DD9043}"/>
                </c:ext>
              </c:extLst>
            </c:dLbl>
            <c:dLbl>
              <c:idx val="2"/>
              <c:layout>
                <c:manualLayout>
                  <c:x val="-1.7069988437940421E-2"/>
                  <c:y val="-0.1284099568199136"/>
                </c:manualLayout>
              </c:layout>
              <c:tx>
                <c:rich>
                  <a:bodyPr/>
                  <a:lstStyle/>
                  <a:p>
                    <a:pPr>
                      <a:defRPr sz="43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Contributi, trasferim. e altre entrate
2,94%</a:t>
                    </a:r>
                  </a:p>
                </c:rich>
              </c:tx>
              <c:spPr>
                <a:noFill/>
                <a:ln w="13907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F2-42D2-A73C-7F9F01DD9043}"/>
                </c:ext>
              </c:extLst>
            </c:dLbl>
            <c:dLbl>
              <c:idx val="3"/>
              <c:layout>
                <c:manualLayout>
                  <c:x val="0.19446031711789447"/>
                  <c:y val="-0.19062129519416576"/>
                </c:manualLayout>
              </c:layout>
              <c:tx>
                <c:rich>
                  <a:bodyPr/>
                  <a:lstStyle/>
                  <a:p>
                    <a:pPr>
                      <a:defRPr sz="43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Proventi da gestione di beni e servizi
8,61%</a:t>
                    </a:r>
                  </a:p>
                </c:rich>
              </c:tx>
              <c:spPr>
                <a:noFill/>
                <a:ln w="13907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F2-42D2-A73C-7F9F01DD9043}"/>
                </c:ext>
              </c:extLst>
            </c:dLbl>
            <c:dLbl>
              <c:idx val="4"/>
              <c:layout>
                <c:manualLayout>
                  <c:x val="0.18915782633280162"/>
                  <c:y val="-9.0168487003640677E-2"/>
                </c:manualLayout>
              </c:layout>
              <c:tx>
                <c:rich>
                  <a:bodyPr/>
                  <a:lstStyle/>
                  <a:p>
                    <a:pPr>
                      <a:defRPr sz="43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Rimanenze
-0,17%</a:t>
                    </a:r>
                  </a:p>
                </c:rich>
              </c:tx>
              <c:spPr>
                <a:noFill/>
                <a:ln w="13907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F2-42D2-A73C-7F9F01DD9043}"/>
                </c:ext>
              </c:extLst>
            </c:dLbl>
            <c:numFmt formatCode="#.000%" sourceLinked="0"/>
            <c:spPr>
              <a:noFill/>
              <a:ln w="1390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43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it-I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trasferim. e altre entrate</c:v>
                </c:pt>
                <c:pt idx="3">
                  <c:v>Proventi da gestione di beni e servizi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 formatCode="_-&quot;€&quot;\ * #.##000_-;\-&quot;€&quot;\ * #.##000_-;_-&quot;€&quot;\ * &quot;-&quot;??_-;_-@_-">
                  <c:v>4408021.2</c:v>
                </c:pt>
                <c:pt idx="1">
                  <c:v>1297320.3600000001</c:v>
                </c:pt>
                <c:pt idx="2">
                  <c:v>189594.06</c:v>
                </c:pt>
                <c:pt idx="3">
                  <c:v>553990.93000000005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FF2-42D2-A73C-7F9F01DD904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13907">
          <a:noFill/>
        </a:ln>
      </c:spPr>
    </c:plotArea>
    <c:legend>
      <c:legendPos val="r"/>
      <c:layout>
        <c:manualLayout>
          <c:xMode val="edge"/>
          <c:yMode val="edge"/>
          <c:x val="0.48396946564885496"/>
          <c:y val="0.11306042884990253"/>
          <c:w val="0.3282442748091603"/>
          <c:h val="0.51656920077972712"/>
        </c:manualLayout>
      </c:layout>
      <c:overlay val="0"/>
      <c:spPr>
        <a:noFill/>
        <a:ln w="1743">
          <a:solidFill>
            <a:srgbClr val="000000"/>
          </a:solidFill>
          <a:prstDash val="solid"/>
        </a:ln>
      </c:spPr>
      <c:txPr>
        <a:bodyPr/>
        <a:lstStyle/>
        <a:p>
          <a:pPr>
            <a:defRPr sz="50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zero"/>
    <c:showDLblsOverMax val="0"/>
  </c:chart>
  <c:spPr>
    <a:solidFill>
      <a:srgbClr val="FFFFFF"/>
    </a:solidFill>
    <a:ln w="6954">
      <a:solidFill>
        <a:srgbClr val="9933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87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4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Proventi correnti 2015 - Composizione percentuale</a:t>
            </a:r>
          </a:p>
        </c:rich>
      </c:tx>
      <c:layout>
        <c:manualLayout>
          <c:xMode val="edge"/>
          <c:yMode val="edge"/>
          <c:x val="0.17460304364881971"/>
          <c:y val="1.9178206172504299E-2"/>
        </c:manualLayout>
      </c:layout>
      <c:overlay val="0"/>
      <c:spPr>
        <a:noFill/>
        <a:ln w="18903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156105100463678"/>
          <c:y val="0.47976878612716761"/>
          <c:w val="0.3554868624420402"/>
          <c:h val="0.2630057803468208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0">
              <a:gsLst>
                <a:gs pos="0">
                  <a:srgbClr val="CCFFCC"/>
                </a:gs>
                <a:gs pos="100000">
                  <a:srgbClr val="9999FF"/>
                </a:gs>
              </a:gsLst>
              <a:lin ang="5400000" scaled="1"/>
            </a:gradFill>
            <a:ln w="9476">
              <a:solidFill>
                <a:srgbClr val="000080"/>
              </a:solidFill>
              <a:prstDash val="solid"/>
            </a:ln>
          </c:spPr>
          <c:dPt>
            <c:idx val="0"/>
            <c:bubble3D val="0"/>
            <c:spPr>
              <a:gradFill rotWithShape="0">
                <a:gsLst>
                  <a:gs pos="0">
                    <a:srgbClr val="99CC00"/>
                  </a:gs>
                  <a:gs pos="100000">
                    <a:srgbClr val="808000"/>
                  </a:gs>
                </a:gsLst>
                <a:lin ang="5400000" scaled="1"/>
              </a:gradFill>
              <a:ln w="9476">
                <a:solidFill>
                  <a:srgbClr val="0033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D7A6-4A1E-8F5C-7347C38AE94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7A6-4A1E-8F5C-7347C38AE94B}"/>
              </c:ext>
            </c:extLst>
          </c:dPt>
          <c:dPt>
            <c:idx val="2"/>
            <c:bubble3D val="0"/>
            <c:spPr>
              <a:gradFill rotWithShape="0">
                <a:gsLst>
                  <a:gs pos="0">
                    <a:srgbClr val="FF99CC"/>
                  </a:gs>
                  <a:gs pos="100000">
                    <a:srgbClr val="FF00FF"/>
                  </a:gs>
                </a:gsLst>
                <a:lin ang="5400000" scaled="1"/>
              </a:gradFill>
              <a:ln w="9476">
                <a:solidFill>
                  <a:srgbClr val="8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7A6-4A1E-8F5C-7347C38AE94B}"/>
              </c:ext>
            </c:extLst>
          </c:dPt>
          <c:dPt>
            <c:idx val="3"/>
            <c:bubble3D val="0"/>
            <c:spPr>
              <a:gradFill rotWithShape="0">
                <a:gsLst>
                  <a:gs pos="0">
                    <a:srgbClr val="800000"/>
                  </a:gs>
                  <a:gs pos="100000">
                    <a:srgbClr val="993300"/>
                  </a:gs>
                </a:gsLst>
                <a:lin ang="5400000" scaled="1"/>
              </a:gradFill>
              <a:ln w="9476">
                <a:solidFill>
                  <a:srgbClr val="8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7A6-4A1E-8F5C-7347C38AE94B}"/>
              </c:ext>
            </c:extLst>
          </c:dPt>
          <c:dLbls>
            <c:dLbl>
              <c:idx val="0"/>
              <c:layout>
                <c:manualLayout>
                  <c:x val="-2.8089586627758376E-2"/>
                  <c:y val="0.10790575455084866"/>
                </c:manualLayout>
              </c:layout>
              <c:numFmt formatCode="#.000%" sourceLinked="0"/>
              <c:spPr>
                <a:noFill/>
                <a:ln w="18903">
                  <a:noFill/>
                </a:ln>
              </c:spPr>
              <c:txPr>
                <a:bodyPr/>
                <a:lstStyle/>
                <a:p>
                  <a:pPr>
                    <a:defRPr sz="59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A6-4A1E-8F5C-7347C38AE94B}"/>
                </c:ext>
              </c:extLst>
            </c:dLbl>
            <c:dLbl>
              <c:idx val="1"/>
              <c:layout>
                <c:manualLayout>
                  <c:x val="1.0972921863028002E-2"/>
                  <c:y val="0.13905067422127787"/>
                </c:manualLayout>
              </c:layout>
              <c:tx>
                <c:rich>
                  <a:bodyPr/>
                  <a:lstStyle/>
                  <a:p>
                    <a:pPr>
                      <a:defRPr sz="597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Diritti di segreteria 
21,12%</a:t>
                    </a:r>
                  </a:p>
                </c:rich>
              </c:tx>
              <c:spPr>
                <a:noFill/>
                <a:ln w="18903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A6-4A1E-8F5C-7347C38AE94B}"/>
                </c:ext>
              </c:extLst>
            </c:dLbl>
            <c:dLbl>
              <c:idx val="2"/>
              <c:layout>
                <c:manualLayout>
                  <c:x val="-8.1703917445101852E-3"/>
                  <c:y val="-0.17663398620073564"/>
                </c:manualLayout>
              </c:layout>
              <c:numFmt formatCode="#.000%" sourceLinked="0"/>
              <c:spPr>
                <a:noFill/>
                <a:ln w="18903">
                  <a:noFill/>
                </a:ln>
              </c:spPr>
              <c:txPr>
                <a:bodyPr/>
                <a:lstStyle/>
                <a:p>
                  <a:pPr>
                    <a:defRPr sz="59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A6-4A1E-8F5C-7347C38AE94B}"/>
                </c:ext>
              </c:extLst>
            </c:dLbl>
            <c:dLbl>
              <c:idx val="3"/>
              <c:layout>
                <c:manualLayout>
                  <c:x val="0.10895828238861457"/>
                  <c:y val="-0.24761139256375306"/>
                </c:manualLayout>
              </c:layout>
              <c:numFmt formatCode="#.000%" sourceLinked="0"/>
              <c:spPr>
                <a:noFill/>
                <a:ln w="18903">
                  <a:noFill/>
                </a:ln>
              </c:spPr>
              <c:txPr>
                <a:bodyPr/>
                <a:lstStyle/>
                <a:p>
                  <a:pPr>
                    <a:defRPr sz="59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A6-4A1E-8F5C-7347C38AE94B}"/>
                </c:ext>
              </c:extLst>
            </c:dLbl>
            <c:dLbl>
              <c:idx val="4"/>
              <c:layout>
                <c:manualLayout>
                  <c:x val="8.4847328866500552E-2"/>
                  <c:y val="-6.4783055086150718E-2"/>
                </c:manualLayout>
              </c:layout>
              <c:numFmt formatCode="#.000%" sourceLinked="0"/>
              <c:spPr>
                <a:noFill/>
                <a:ln w="18903">
                  <a:noFill/>
                </a:ln>
              </c:spPr>
              <c:txPr>
                <a:bodyPr/>
                <a:lstStyle/>
                <a:p>
                  <a:pPr>
                    <a:defRPr sz="59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A6-4A1E-8F5C-7347C38AE94B}"/>
                </c:ext>
              </c:extLst>
            </c:dLbl>
            <c:numFmt formatCode="#.000%" sourceLinked="0"/>
            <c:spPr>
              <a:noFill/>
              <a:ln w="189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9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it-I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trasferim. e altre entrate</c:v>
                </c:pt>
                <c:pt idx="3">
                  <c:v>Proventi da gestione di beni e servizi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4000026.11</c:v>
                </c:pt>
                <c:pt idx="1">
                  <c:v>1281607.8600000001</c:v>
                </c:pt>
                <c:pt idx="2">
                  <c:v>193888.16</c:v>
                </c:pt>
                <c:pt idx="3">
                  <c:v>564974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7A6-4A1E-8F5C-7347C38AE9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18903">
          <a:noFill/>
        </a:ln>
      </c:spPr>
    </c:plotArea>
    <c:legend>
      <c:legendPos val="r"/>
      <c:layout>
        <c:manualLayout>
          <c:xMode val="edge"/>
          <c:yMode val="edge"/>
          <c:x val="0.6491499227202473"/>
          <c:y val="0.2947976878612717"/>
          <c:w val="0.33539412673879443"/>
          <c:h val="0.51445086705202314"/>
        </c:manualLayout>
      </c:layout>
      <c:overlay val="0"/>
      <c:spPr>
        <a:noFill/>
        <a:ln w="2369">
          <a:solidFill>
            <a:srgbClr val="000000"/>
          </a:solidFill>
          <a:prstDash val="solid"/>
        </a:ln>
      </c:spPr>
      <c:txPr>
        <a:bodyPr/>
        <a:lstStyle/>
        <a:p>
          <a:pPr>
            <a:defRPr sz="686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zero"/>
    <c:showDLblsOverMax val="0"/>
  </c:chart>
  <c:spPr>
    <a:solidFill>
      <a:srgbClr val="FFFFFF"/>
    </a:solidFill>
    <a:ln w="9452">
      <a:solidFill>
        <a:srgbClr val="9933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1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75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Oneri correnti</a:t>
            </a:r>
          </a:p>
        </c:rich>
      </c:tx>
      <c:layout>
        <c:manualLayout>
          <c:xMode val="edge"/>
          <c:yMode val="edge"/>
          <c:x val="0.40293631250081996"/>
          <c:y val="1.9753001733367453E-2"/>
        </c:manualLayout>
      </c:layout>
      <c:overlay val="0"/>
      <c:spPr>
        <a:noFill/>
        <a:ln w="13740">
          <a:noFill/>
        </a:ln>
      </c:spPr>
    </c:title>
    <c:autoTitleDeleted val="0"/>
    <c:view3D>
      <c:rotX val="15"/>
      <c:hPercent val="63"/>
      <c:rotY val="20"/>
      <c:depthPercent val="100"/>
      <c:rAngAx val="1"/>
    </c:view3D>
    <c:floor>
      <c:thickness val="0"/>
      <c:spPr>
        <a:solidFill>
          <a:srgbClr val="FFCC0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gradFill rotWithShape="0">
          <a:gsLst>
            <a:gs pos="0">
              <a:srgbClr val="FFFF99"/>
            </a:gs>
            <a:gs pos="50000">
              <a:srgbClr val="FFFF00"/>
            </a:gs>
            <a:gs pos="100000">
              <a:srgbClr val="FFFF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thickness val="0"/>
      <c:spPr>
        <a:gradFill rotWithShape="0">
          <a:gsLst>
            <a:gs pos="0">
              <a:srgbClr val="FFFF99"/>
            </a:gs>
            <a:gs pos="50000">
              <a:srgbClr val="FFFF00"/>
            </a:gs>
            <a:gs pos="100000">
              <a:srgbClr val="FFFF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3687943262411348"/>
          <c:y val="0.15406976744186046"/>
          <c:w val="0.64113475177304968"/>
          <c:h val="0.590116279069767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0">
              <a:gsLst>
                <a:gs pos="0">
                  <a:srgbClr val="CCFFCC"/>
                </a:gs>
                <a:gs pos="100000">
                  <a:srgbClr val="9999FF"/>
                </a:gs>
              </a:gsLst>
              <a:lin ang="5400000" scaled="1"/>
            </a:gradFill>
            <a:ln w="6859">
              <a:solidFill>
                <a:srgbClr val="00008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Personale</c:v>
                </c:pt>
                <c:pt idx="1">
                  <c:v>Funzionamento</c:v>
                </c:pt>
                <c:pt idx="2">
                  <c:v>Interventi economici</c:v>
                </c:pt>
                <c:pt idx="3">
                  <c:v>Ammortamenti e accantonamenti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2311720.56</c:v>
                </c:pt>
                <c:pt idx="1">
                  <c:v>1429272.39</c:v>
                </c:pt>
                <c:pt idx="2">
                  <c:v>1447717.93</c:v>
                </c:pt>
                <c:pt idx="3">
                  <c:v>1686797.25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07-4CF2-B846-D445F954ACD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0">
              <a:gsLst>
                <a:gs pos="0">
                  <a:srgbClr val="993366"/>
                </a:gs>
                <a:gs pos="100000">
                  <a:srgbClr val="FFFFFF"/>
                </a:gs>
              </a:gsLst>
              <a:lin ang="5400000" scaled="1"/>
            </a:gradFill>
            <a:ln w="6859">
              <a:solidFill>
                <a:srgbClr val="8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Personale</c:v>
                </c:pt>
                <c:pt idx="1">
                  <c:v>Funzionamento</c:v>
                </c:pt>
                <c:pt idx="2">
                  <c:v>Interventi economici</c:v>
                </c:pt>
                <c:pt idx="3">
                  <c:v>Ammortamenti e accantonamenti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2298078.52</c:v>
                </c:pt>
                <c:pt idx="1">
                  <c:v>1502218.52</c:v>
                </c:pt>
                <c:pt idx="2">
                  <c:v>1211852.93</c:v>
                </c:pt>
                <c:pt idx="3">
                  <c:v>1465370.92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07-4CF2-B846-D445F954AC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46281967"/>
        <c:axId val="1"/>
        <c:axId val="0"/>
      </c:bar3DChart>
      <c:catAx>
        <c:axId val="104628196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71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715">
              <a:solidFill>
                <a:srgbClr val="000000"/>
              </a:solidFill>
              <a:prstDash val="solid"/>
            </a:ln>
          </c:spPr>
        </c:majorGridlines>
        <c:numFmt formatCode="\€\ #,##0" sourceLinked="0"/>
        <c:majorTickMark val="out"/>
        <c:minorTickMark val="none"/>
        <c:tickLblPos val="nextTo"/>
        <c:spPr>
          <a:ln w="171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046281967"/>
        <c:crosses val="autoZero"/>
        <c:crossBetween val="between"/>
      </c:valAx>
      <c:spPr>
        <a:noFill/>
        <a:ln w="13740">
          <a:noFill/>
        </a:ln>
      </c:spPr>
    </c:plotArea>
    <c:legend>
      <c:legendPos val="r"/>
      <c:layout>
        <c:manualLayout>
          <c:xMode val="edge"/>
          <c:yMode val="edge"/>
          <c:x val="0.92198581560283688"/>
          <c:y val="0.58720930232558144"/>
          <c:w val="7.8014184397163122E-2"/>
          <c:h val="0.12790697674418605"/>
        </c:manualLayout>
      </c:layout>
      <c:overlay val="0"/>
      <c:spPr>
        <a:noFill/>
        <a:ln w="1715">
          <a:solidFill>
            <a:srgbClr val="000000"/>
          </a:solidFill>
          <a:prstDash val="solid"/>
        </a:ln>
      </c:spPr>
      <c:txPr>
        <a:bodyPr/>
        <a:lstStyle/>
        <a:p>
          <a:pPr>
            <a:defRPr sz="594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77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it-IT"/>
              <a:t>Oneri correnti 2016 - Composizione percentuale</a:t>
            </a:r>
          </a:p>
        </c:rich>
      </c:tx>
      <c:layout>
        <c:manualLayout>
          <c:xMode val="edge"/>
          <c:yMode val="edge"/>
          <c:x val="0.19803604920737691"/>
          <c:y val="1.9073617366320579E-2"/>
        </c:manualLayout>
      </c:layout>
      <c:overlay val="0"/>
      <c:spPr>
        <a:noFill/>
        <a:ln w="16384">
          <a:noFill/>
        </a:ln>
      </c:spPr>
    </c:title>
    <c:autoTitleDeleted val="0"/>
    <c:view3D>
      <c:rotX val="15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533546325878593E-2"/>
          <c:y val="0.3009478672985782"/>
          <c:w val="0.53194888178913735"/>
          <c:h val="0.3127962085308057"/>
        </c:manualLayout>
      </c:layout>
      <c:pie3DChart>
        <c:varyColors val="1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0">
              <a:gsLst>
                <a:gs pos="0">
                  <a:srgbClr val="993366"/>
                </a:gs>
                <a:gs pos="100000">
                  <a:srgbClr val="FFFFFF"/>
                </a:gs>
              </a:gsLst>
              <a:lin ang="5400000" scaled="1"/>
            </a:gradFill>
            <a:ln w="8214">
              <a:solidFill>
                <a:srgbClr val="800000"/>
              </a:solidFill>
              <a:prstDash val="solid"/>
            </a:ln>
          </c:spPr>
          <c:explosion val="15"/>
          <c:dPt>
            <c:idx val="0"/>
            <c:bubble3D val="0"/>
            <c:spPr>
              <a:gradFill rotWithShape="0">
                <a:gsLst>
                  <a:gs pos="0">
                    <a:srgbClr val="FFFFFF"/>
                  </a:gs>
                  <a:gs pos="100000">
                    <a:srgbClr val="C0C0C0"/>
                  </a:gs>
                </a:gsLst>
                <a:lin ang="5400000" scaled="1"/>
              </a:gradFill>
              <a:ln w="8214">
                <a:solidFill>
                  <a:srgbClr val="333333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A2DB-4AAF-9DE5-05D4F32BD002}"/>
              </c:ext>
            </c:extLst>
          </c:dPt>
          <c:dPt>
            <c:idx val="1"/>
            <c:bubble3D val="0"/>
            <c:spPr>
              <a:gradFill rotWithShape="0">
                <a:gsLst>
                  <a:gs pos="0">
                    <a:srgbClr val="CCFFFF"/>
                  </a:gs>
                  <a:gs pos="100000">
                    <a:srgbClr val="99CC00"/>
                  </a:gs>
                </a:gsLst>
                <a:lin ang="5400000" scaled="1"/>
              </a:gradFill>
              <a:ln w="8214">
                <a:solidFill>
                  <a:srgbClr val="3333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2DB-4AAF-9DE5-05D4F32BD002}"/>
              </c:ext>
            </c:extLst>
          </c:dPt>
          <c:dPt>
            <c:idx val="2"/>
            <c:bubble3D val="0"/>
            <c:spPr>
              <a:gradFill rotWithShape="0">
                <a:gsLst>
                  <a:gs pos="0">
                    <a:srgbClr val="FF0000"/>
                  </a:gs>
                  <a:gs pos="50000">
                    <a:srgbClr val="FFFFFF"/>
                  </a:gs>
                  <a:gs pos="100000">
                    <a:srgbClr val="FF0000"/>
                  </a:gs>
                </a:gsLst>
                <a:lin ang="5400000" scaled="1"/>
              </a:gradFill>
              <a:ln w="8214">
                <a:solidFill>
                  <a:srgbClr val="8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A2DB-4AAF-9DE5-05D4F32BD002}"/>
              </c:ext>
            </c:extLst>
          </c:dPt>
          <c:dPt>
            <c:idx val="3"/>
            <c:bubble3D val="0"/>
            <c:spPr>
              <a:gradFill rotWithShape="0">
                <a:gsLst>
                  <a:gs pos="0">
                    <a:srgbClr val="FFFF00"/>
                  </a:gs>
                  <a:gs pos="100000">
                    <a:srgbClr val="FF9900"/>
                  </a:gs>
                </a:gsLst>
                <a:lin ang="5400000" scaled="1"/>
              </a:gradFill>
              <a:ln w="8214">
                <a:solidFill>
                  <a:srgbClr val="8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2DB-4AAF-9DE5-05D4F32BD00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A2DB-4AAF-9DE5-05D4F32BD002}"/>
              </c:ext>
            </c:extLst>
          </c:dPt>
          <c:dLbls>
            <c:dLbl>
              <c:idx val="0"/>
              <c:layout>
                <c:manualLayout>
                  <c:x val="8.8926174496644292E-2"/>
                  <c:y val="-0.24746705048965656"/>
                </c:manualLayout>
              </c:layout>
              <c:tx>
                <c:rich>
                  <a:bodyPr/>
                  <a:lstStyle/>
                  <a:p>
                    <a:pPr>
                      <a:defRPr sz="64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Personale
33,62%</a:t>
                    </a:r>
                  </a:p>
                </c:rich>
              </c:tx>
              <c:spPr>
                <a:noFill/>
                <a:ln w="16384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DB-4AAF-9DE5-05D4F32BD002}"/>
                </c:ext>
              </c:extLst>
            </c:dLbl>
            <c:dLbl>
              <c:idx val="1"/>
              <c:layout>
                <c:manualLayout>
                  <c:x val="2.73411545033381E-2"/>
                  <c:y val="-0.12744701267180311"/>
                </c:manualLayout>
              </c:layout>
              <c:tx>
                <c:rich>
                  <a:bodyPr/>
                  <a:lstStyle/>
                  <a:p>
                    <a:pPr>
                      <a:defRPr sz="64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Funzionamento
20,79%</a:t>
                    </a:r>
                  </a:p>
                </c:rich>
              </c:tx>
              <c:spPr>
                <a:noFill/>
                <a:ln w="16384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DB-4AAF-9DE5-05D4F32BD002}"/>
                </c:ext>
              </c:extLst>
            </c:dLbl>
            <c:dLbl>
              <c:idx val="2"/>
              <c:layout>
                <c:manualLayout>
                  <c:x val="2.0748295724779365E-2"/>
                  <c:y val="-7.5917929613702367E-5"/>
                </c:manualLayout>
              </c:layout>
              <c:tx>
                <c:rich>
                  <a:bodyPr/>
                  <a:lstStyle/>
                  <a:p>
                    <a:pPr>
                      <a:defRPr sz="64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Ammortamenti e accantonamenti
24,53%</a:t>
                    </a:r>
                  </a:p>
                </c:rich>
              </c:tx>
              <c:spPr>
                <a:noFill/>
                <a:ln w="16384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DB-4AAF-9DE5-05D4F32BD002}"/>
                </c:ext>
              </c:extLst>
            </c:dLbl>
            <c:dLbl>
              <c:idx val="3"/>
              <c:layout>
                <c:manualLayout>
                  <c:x val="-4.3334742553154011E-2"/>
                  <c:y val="5.851522591934067E-2"/>
                </c:manualLayout>
              </c:layout>
              <c:tx>
                <c:rich>
                  <a:bodyPr/>
                  <a:lstStyle/>
                  <a:p>
                    <a:pPr>
                      <a:defRPr sz="64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Interventi economici
21,06%</a:t>
                    </a:r>
                  </a:p>
                </c:rich>
              </c:tx>
              <c:spPr>
                <a:noFill/>
                <a:ln w="16384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DB-4AAF-9DE5-05D4F32BD002}"/>
                </c:ext>
              </c:extLst>
            </c:dLbl>
            <c:numFmt formatCode="#.000%" sourceLinked="0"/>
            <c:spPr>
              <a:noFill/>
              <a:ln w="1638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4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it-I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Personale</c:v>
                </c:pt>
                <c:pt idx="1">
                  <c:v>Funzionamento</c:v>
                </c:pt>
                <c:pt idx="2">
                  <c:v>Ammortamenti e accantonamenti</c:v>
                </c:pt>
                <c:pt idx="3">
                  <c:v>Interventi economici</c:v>
                </c:pt>
                <c:pt idx="4">
                  <c:v>Variazione delle rimanenze</c:v>
                </c:pt>
              </c:strCache>
            </c:strRef>
          </c:cat>
          <c:val>
            <c:numRef>
              <c:f>Sheet1!$B$2:$F$2</c:f>
              <c:numCache>
                <c:formatCode>_-"€"\ * #.##000_-;\-"€"\ * #.##000_-;_-"€"\ * "-"??_-;_-@_-</c:formatCode>
                <c:ptCount val="5"/>
                <c:pt idx="0">
                  <c:v>2311720.56</c:v>
                </c:pt>
                <c:pt idx="1">
                  <c:v>1429272.39</c:v>
                </c:pt>
                <c:pt idx="2">
                  <c:v>1686797.25</c:v>
                </c:pt>
                <c:pt idx="3">
                  <c:v>1445717.93</c:v>
                </c:pt>
                <c:pt idx="4">
                  <c:v>10919.26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2DB-4AAF-9DE5-05D4F32BD00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16384">
          <a:noFill/>
        </a:ln>
      </c:spPr>
    </c:plotArea>
    <c:plotVisOnly val="1"/>
    <c:dispBlanksAs val="zero"/>
    <c:showDLblsOverMax val="0"/>
  </c:chart>
  <c:spPr>
    <a:solidFill>
      <a:srgbClr val="FFFFFF"/>
    </a:solidFill>
    <a:ln w="8192">
      <a:solidFill>
        <a:srgbClr val="8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0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73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it-IT"/>
              <a:t>Oneri correnti 2015 - Composizione percentuale</a:t>
            </a:r>
          </a:p>
        </c:rich>
      </c:tx>
      <c:layout>
        <c:manualLayout>
          <c:xMode val="edge"/>
          <c:yMode val="edge"/>
          <c:x val="0.20621933250300817"/>
          <c:y val="1.9704293147102196E-2"/>
        </c:manualLayout>
      </c:layout>
      <c:overlay val="0"/>
      <c:spPr>
        <a:noFill/>
        <a:ln w="15583">
          <a:noFill/>
        </a:ln>
      </c:spPr>
    </c:title>
    <c:autoTitleDeleted val="0"/>
    <c:view3D>
      <c:rotX val="15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516129032258063E-2"/>
          <c:y val="0.32553191489361705"/>
          <c:w val="0.36451612903225805"/>
          <c:h val="0.1893617021276595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0">
              <a:gsLst>
                <a:gs pos="0">
                  <a:srgbClr val="CCFFCC"/>
                </a:gs>
                <a:gs pos="100000">
                  <a:srgbClr val="9999FF"/>
                </a:gs>
              </a:gsLst>
              <a:lin ang="5400000" scaled="1"/>
            </a:gradFill>
            <a:ln w="7779">
              <a:solidFill>
                <a:srgbClr val="000080"/>
              </a:solidFill>
              <a:prstDash val="solid"/>
            </a:ln>
          </c:spPr>
          <c:explosion val="6"/>
          <c:dPt>
            <c:idx val="0"/>
            <c:bubble3D val="0"/>
            <c:spPr>
              <a:gradFill rotWithShape="0">
                <a:gsLst>
                  <a:gs pos="0">
                    <a:srgbClr val="FFFFFF"/>
                  </a:gs>
                  <a:gs pos="100000">
                    <a:srgbClr val="C0C0C0"/>
                  </a:gs>
                </a:gsLst>
                <a:lin ang="5400000" scaled="1"/>
              </a:gradFill>
              <a:ln w="7779">
                <a:solidFill>
                  <a:srgbClr val="333333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FE1C-4070-9E95-5541F8E63AD5}"/>
              </c:ext>
            </c:extLst>
          </c:dPt>
          <c:dPt>
            <c:idx val="1"/>
            <c:bubble3D val="0"/>
            <c:spPr>
              <a:gradFill rotWithShape="0">
                <a:gsLst>
                  <a:gs pos="0">
                    <a:srgbClr val="CCFFCC"/>
                  </a:gs>
                  <a:gs pos="100000">
                    <a:srgbClr val="99CC00"/>
                  </a:gs>
                </a:gsLst>
                <a:lin ang="5400000" scaled="1"/>
              </a:gradFill>
              <a:ln w="7779">
                <a:solidFill>
                  <a:srgbClr val="0033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E1C-4070-9E95-5541F8E63AD5}"/>
              </c:ext>
            </c:extLst>
          </c:dPt>
          <c:dPt>
            <c:idx val="2"/>
            <c:bubble3D val="0"/>
            <c:spPr>
              <a:gradFill rotWithShape="0">
                <a:gsLst>
                  <a:gs pos="0">
                    <a:srgbClr val="FF0000"/>
                  </a:gs>
                  <a:gs pos="50000">
                    <a:srgbClr val="FFFFFF"/>
                  </a:gs>
                  <a:gs pos="100000">
                    <a:srgbClr val="FF0000"/>
                  </a:gs>
                </a:gsLst>
                <a:lin ang="5400000" scaled="1"/>
              </a:gradFill>
              <a:ln w="7779">
                <a:solidFill>
                  <a:srgbClr val="9933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FE1C-4070-9E95-5541F8E63AD5}"/>
              </c:ext>
            </c:extLst>
          </c:dPt>
          <c:dPt>
            <c:idx val="3"/>
            <c:bubble3D val="0"/>
            <c:spPr>
              <a:gradFill rotWithShape="0">
                <a:gsLst>
                  <a:gs pos="0">
                    <a:srgbClr val="FF9900"/>
                  </a:gs>
                  <a:gs pos="50000">
                    <a:srgbClr val="FFFF00"/>
                  </a:gs>
                  <a:gs pos="100000">
                    <a:srgbClr val="FF9900"/>
                  </a:gs>
                </a:gsLst>
                <a:lin ang="5400000" scaled="1"/>
              </a:gradFill>
              <a:ln w="7779">
                <a:solidFill>
                  <a:srgbClr val="9933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E1C-4070-9E95-5541F8E63AD5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FE1C-4070-9E95-5541F8E63AD5}"/>
              </c:ext>
            </c:extLst>
          </c:dPt>
          <c:dLbls>
            <c:dLbl>
              <c:idx val="0"/>
              <c:layout>
                <c:manualLayout>
                  <c:x val="9.6982218058755371E-2"/>
                  <c:y val="-0.16476811211995629"/>
                </c:manualLayout>
              </c:layout>
              <c:numFmt formatCode="#.000%" sourceLinked="0"/>
              <c:spPr>
                <a:noFill/>
                <a:ln w="15583">
                  <a:noFill/>
                </a:ln>
              </c:spPr>
              <c:txPr>
                <a:bodyPr/>
                <a:lstStyle/>
                <a:p>
                  <a:pPr>
                    <a:defRPr sz="61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1C-4070-9E95-5541F8E63AD5}"/>
                </c:ext>
              </c:extLst>
            </c:dLbl>
            <c:dLbl>
              <c:idx val="1"/>
              <c:layout>
                <c:manualLayout>
                  <c:x val="-9.0608164443656589E-2"/>
                  <c:y val="-0.15460143583355498"/>
                </c:manualLayout>
              </c:layout>
              <c:numFmt formatCode="#.000%" sourceLinked="0"/>
              <c:spPr>
                <a:noFill/>
                <a:ln w="15583">
                  <a:noFill/>
                </a:ln>
              </c:spPr>
              <c:txPr>
                <a:bodyPr/>
                <a:lstStyle/>
                <a:p>
                  <a:pPr>
                    <a:defRPr sz="61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1C-4070-9E95-5541F8E63AD5}"/>
                </c:ext>
              </c:extLst>
            </c:dLbl>
            <c:dLbl>
              <c:idx val="2"/>
              <c:layout>
                <c:manualLayout>
                  <c:x val="8.8550623656031904E-2"/>
                  <c:y val="-0.12073414103223928"/>
                </c:manualLayout>
              </c:layout>
              <c:numFmt formatCode="#.000%" sourceLinked="0"/>
              <c:spPr>
                <a:noFill/>
                <a:ln w="15583">
                  <a:noFill/>
                </a:ln>
              </c:spPr>
              <c:txPr>
                <a:bodyPr/>
                <a:lstStyle/>
                <a:p>
                  <a:pPr>
                    <a:defRPr sz="61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E1C-4070-9E95-5541F8E63AD5}"/>
                </c:ext>
              </c:extLst>
            </c:dLbl>
            <c:dLbl>
              <c:idx val="3"/>
              <c:layout>
                <c:manualLayout>
                  <c:x val="0.25923025029378888"/>
                  <c:y val="6.9360064936611843E-2"/>
                </c:manualLayout>
              </c:layout>
              <c:numFmt formatCode="#.000%" sourceLinked="0"/>
              <c:spPr>
                <a:noFill/>
                <a:ln w="15583">
                  <a:noFill/>
                </a:ln>
              </c:spPr>
              <c:txPr>
                <a:bodyPr/>
                <a:lstStyle/>
                <a:p>
                  <a:pPr>
                    <a:defRPr sz="61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1C-4070-9E95-5541F8E63AD5}"/>
                </c:ext>
              </c:extLst>
            </c:dLbl>
            <c:dLbl>
              <c:idx val="4"/>
              <c:layout>
                <c:manualLayout>
                  <c:x val="0.15548281505728337"/>
                  <c:y val="0.12862675534639179"/>
                </c:manualLayout>
              </c:layout>
              <c:numFmt formatCode="#.000%" sourceLinked="0"/>
              <c:spPr>
                <a:noFill/>
                <a:ln w="15583">
                  <a:noFill/>
                </a:ln>
              </c:spPr>
              <c:txPr>
                <a:bodyPr/>
                <a:lstStyle/>
                <a:p>
                  <a:pPr>
                    <a:defRPr sz="61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it-I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E1C-4070-9E95-5541F8E63AD5}"/>
                </c:ext>
              </c:extLst>
            </c:dLbl>
            <c:numFmt formatCode="#.000%" sourceLinked="0"/>
            <c:spPr>
              <a:noFill/>
              <a:ln w="1558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1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it-I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Personale</c:v>
                </c:pt>
                <c:pt idx="1">
                  <c:v>Funzionamento</c:v>
                </c:pt>
                <c:pt idx="2">
                  <c:v>Ammortamenti e accantonamenti</c:v>
                </c:pt>
                <c:pt idx="3">
                  <c:v>Interventi economici</c:v>
                </c:pt>
                <c:pt idx="4">
                  <c:v>Variazione delle rimanenze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2298078.52</c:v>
                </c:pt>
                <c:pt idx="1">
                  <c:v>1502218.52</c:v>
                </c:pt>
                <c:pt idx="2">
                  <c:v>1465370.92</c:v>
                </c:pt>
                <c:pt idx="3">
                  <c:v>1211852.93</c:v>
                </c:pt>
                <c:pt idx="4">
                  <c:v>541.66999999999996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1C-4070-9E95-5541F8E63AD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15583">
          <a:noFill/>
        </a:ln>
      </c:spPr>
    </c:plotArea>
    <c:plotVisOnly val="1"/>
    <c:dispBlanksAs val="zero"/>
    <c:showDLblsOverMax val="0"/>
  </c:chart>
  <c:spPr>
    <a:solidFill>
      <a:srgbClr val="FFFFFF"/>
    </a:solidFill>
    <a:ln w="1948">
      <a:solidFill>
        <a:srgbClr val="8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0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Relazione Previsionale e Programmatica</vt:lpstr>
    </vt:vector>
  </TitlesOfParts>
  <Company>Camera di Commercio Industria Artigianato Agricoltura di Pistoia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Relazione Previsionale e Programmatica</dc:title>
  <dc:subject>Redatta in conformità al D.p.r. n. 254/2005</dc:subject>
  <dc:creator>cpt0314</dc:creator>
  <cp:keywords/>
  <dc:description/>
  <cp:lastModifiedBy>Gianluca Morosi</cp:lastModifiedBy>
  <cp:revision>2</cp:revision>
  <cp:lastPrinted>2017-04-06T15:05:00Z</cp:lastPrinted>
  <dcterms:created xsi:type="dcterms:W3CDTF">2023-02-20T14:45:00Z</dcterms:created>
  <dcterms:modified xsi:type="dcterms:W3CDTF">2023-02-20T14:45:00Z</dcterms:modified>
</cp:coreProperties>
</file>